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A334B" w14:textId="77777777" w:rsidR="003D5177" w:rsidRDefault="008839D7" w:rsidP="003247E3">
      <w:pPr>
        <w:spacing w:line="360" w:lineRule="auto"/>
        <w:jc w:val="center"/>
      </w:pPr>
      <w:r>
        <w:t>Supplementary Material</w:t>
      </w:r>
    </w:p>
    <w:p w14:paraId="230E91E0" w14:textId="77777777" w:rsidR="003D5177" w:rsidRDefault="003D5177" w:rsidP="003247E3">
      <w:pPr>
        <w:spacing w:line="360" w:lineRule="auto"/>
        <w:jc w:val="both"/>
        <w:rPr>
          <w:b w:val="0"/>
        </w:rPr>
      </w:pPr>
    </w:p>
    <w:p w14:paraId="00FEF8C0" w14:textId="77777777" w:rsidR="003D5177" w:rsidRDefault="008839D7" w:rsidP="003247E3">
      <w:pPr>
        <w:numPr>
          <w:ilvl w:val="0"/>
          <w:numId w:val="1"/>
        </w:numPr>
        <w:spacing w:line="360" w:lineRule="auto"/>
        <w:jc w:val="both"/>
      </w:pPr>
      <w:r>
        <w:t>Trajectory: Lattice maze (aligned and tilted)</w:t>
      </w:r>
    </w:p>
    <w:p w14:paraId="50997DF8" w14:textId="77777777" w:rsidR="003D5177" w:rsidRDefault="003D5177" w:rsidP="003247E3">
      <w:pPr>
        <w:spacing w:line="360" w:lineRule="auto"/>
        <w:ind w:firstLine="0"/>
        <w:jc w:val="both"/>
        <w:rPr>
          <w:b w:val="0"/>
        </w:rPr>
      </w:pPr>
    </w:p>
    <w:p w14:paraId="2B8270FB" w14:textId="77777777" w:rsidR="003D5177" w:rsidRDefault="008839D7" w:rsidP="003247E3">
      <w:pPr>
        <w:spacing w:line="360" w:lineRule="auto"/>
        <w:ind w:left="0" w:firstLine="0"/>
        <w:rPr>
          <w:b w:val="0"/>
        </w:rPr>
      </w:pPr>
      <w:r>
        <w:rPr>
          <w:b w:val="0"/>
        </w:rPr>
        <w:t>Table 1: Probability of virtual agent choosing the direction of next node in aligned lattice maze</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5895"/>
        <w:gridCol w:w="3465"/>
      </w:tblGrid>
      <w:tr w:rsidR="003D5177" w14:paraId="7F8BA9D5" w14:textId="77777777" w:rsidTr="008F4D4B">
        <w:trPr>
          <w:trHeight w:val="567"/>
          <w:tblHeader/>
        </w:trPr>
        <w:tc>
          <w:tcPr>
            <w:tcW w:w="9360" w:type="dxa"/>
            <w:gridSpan w:val="2"/>
            <w:shd w:val="clear" w:color="auto" w:fill="auto"/>
            <w:tcMar>
              <w:top w:w="100" w:type="dxa"/>
              <w:left w:w="100" w:type="dxa"/>
              <w:bottom w:w="100" w:type="dxa"/>
              <w:right w:w="100" w:type="dxa"/>
            </w:tcMar>
          </w:tcPr>
          <w:p w14:paraId="463522FA" w14:textId="77777777" w:rsidR="003D5177" w:rsidRDefault="008839D7" w:rsidP="003247E3">
            <w:pPr>
              <w:widowControl w:val="0"/>
              <w:spacing w:line="360" w:lineRule="auto"/>
              <w:jc w:val="center"/>
              <w:rPr>
                <w:b w:val="0"/>
              </w:rPr>
            </w:pPr>
            <w:r>
              <w:rPr>
                <w:b w:val="0"/>
              </w:rPr>
              <w:t>Aligned Lattice Probabilities</w:t>
            </w:r>
          </w:p>
        </w:tc>
      </w:tr>
      <w:tr w:rsidR="003D5177" w14:paraId="6242068A" w14:textId="77777777" w:rsidTr="008F4D4B">
        <w:trPr>
          <w:trHeight w:val="567"/>
          <w:tblHeader/>
        </w:trPr>
        <w:tc>
          <w:tcPr>
            <w:tcW w:w="5895" w:type="dxa"/>
            <w:shd w:val="clear" w:color="auto" w:fill="auto"/>
            <w:tcMar>
              <w:top w:w="100" w:type="dxa"/>
              <w:left w:w="100" w:type="dxa"/>
              <w:bottom w:w="100" w:type="dxa"/>
              <w:right w:w="100" w:type="dxa"/>
            </w:tcMar>
          </w:tcPr>
          <w:p w14:paraId="2BFF487E" w14:textId="77777777" w:rsidR="003D5177" w:rsidRDefault="008839D7" w:rsidP="003247E3">
            <w:pPr>
              <w:widowControl w:val="0"/>
              <w:spacing w:line="360" w:lineRule="auto"/>
              <w:jc w:val="center"/>
              <w:rPr>
                <w:b w:val="0"/>
              </w:rPr>
            </w:pPr>
            <w:r>
              <w:rPr>
                <w:b w:val="0"/>
              </w:rPr>
              <w:t>Preferred Movement</w:t>
            </w:r>
          </w:p>
        </w:tc>
        <w:tc>
          <w:tcPr>
            <w:tcW w:w="3465" w:type="dxa"/>
            <w:shd w:val="clear" w:color="auto" w:fill="auto"/>
            <w:tcMar>
              <w:top w:w="100" w:type="dxa"/>
              <w:left w:w="100" w:type="dxa"/>
              <w:bottom w:w="100" w:type="dxa"/>
              <w:right w:w="100" w:type="dxa"/>
            </w:tcMar>
          </w:tcPr>
          <w:p w14:paraId="7B8CC3D7" w14:textId="77777777" w:rsidR="003D5177" w:rsidRDefault="008839D7" w:rsidP="003247E3">
            <w:pPr>
              <w:widowControl w:val="0"/>
              <w:spacing w:line="360" w:lineRule="auto"/>
              <w:jc w:val="center"/>
              <w:rPr>
                <w:b w:val="0"/>
              </w:rPr>
            </w:pPr>
            <w:r>
              <w:rPr>
                <w:b w:val="0"/>
              </w:rPr>
              <w:t>Probability</w:t>
            </w:r>
          </w:p>
        </w:tc>
      </w:tr>
      <w:tr w:rsidR="003D5177" w14:paraId="42944831" w14:textId="77777777" w:rsidTr="008F4D4B">
        <w:trPr>
          <w:trHeight w:val="567"/>
          <w:tblHeader/>
        </w:trPr>
        <w:tc>
          <w:tcPr>
            <w:tcW w:w="5895" w:type="dxa"/>
            <w:shd w:val="clear" w:color="auto" w:fill="auto"/>
            <w:tcMar>
              <w:top w:w="100" w:type="dxa"/>
              <w:left w:w="100" w:type="dxa"/>
              <w:bottom w:w="100" w:type="dxa"/>
              <w:right w:w="100" w:type="dxa"/>
            </w:tcMar>
          </w:tcPr>
          <w:p w14:paraId="5D43E8E1" w14:textId="5DE0F310" w:rsidR="003D5177" w:rsidRDefault="008839D7" w:rsidP="00815C04">
            <w:pPr>
              <w:widowControl w:val="0"/>
              <w:numPr>
                <w:ilvl w:val="0"/>
                <w:numId w:val="2"/>
              </w:numPr>
              <w:spacing w:line="360" w:lineRule="auto"/>
              <w:rPr>
                <w:b w:val="0"/>
              </w:rPr>
            </w:pPr>
            <w:r>
              <w:rPr>
                <w:b w:val="0"/>
              </w:rPr>
              <w:t>Vertical movement</w:t>
            </w:r>
            <w:r w:rsidR="00815C04">
              <w:rPr>
                <w:b w:val="0"/>
              </w:rPr>
              <w:t xml:space="preserve"> (along </w:t>
            </w:r>
            <w:r w:rsidR="00596D9C">
              <w:rPr>
                <w:b w:val="0"/>
              </w:rPr>
              <w:t xml:space="preserve">the </w:t>
            </w:r>
            <w:r w:rsidR="00815C04">
              <w:rPr>
                <w:b w:val="0"/>
              </w:rPr>
              <w:t>Z axis)</w:t>
            </w:r>
          </w:p>
          <w:p w14:paraId="649501C8" w14:textId="77777777" w:rsidR="0044127D" w:rsidRDefault="0044127D" w:rsidP="0044127D">
            <w:pPr>
              <w:widowControl w:val="0"/>
              <w:numPr>
                <w:ilvl w:val="1"/>
                <w:numId w:val="2"/>
              </w:numPr>
              <w:spacing w:line="360" w:lineRule="auto"/>
              <w:rPr>
                <w:b w:val="0"/>
              </w:rPr>
            </w:pPr>
            <w:r>
              <w:rPr>
                <w:b w:val="0"/>
              </w:rPr>
              <w:t>Upward movement</w:t>
            </w:r>
          </w:p>
          <w:p w14:paraId="0A366C34" w14:textId="5D0F552F" w:rsidR="0044127D" w:rsidRPr="00815C04" w:rsidRDefault="0044127D" w:rsidP="0044127D">
            <w:pPr>
              <w:widowControl w:val="0"/>
              <w:numPr>
                <w:ilvl w:val="1"/>
                <w:numId w:val="2"/>
              </w:numPr>
              <w:spacing w:line="360" w:lineRule="auto"/>
              <w:rPr>
                <w:b w:val="0"/>
              </w:rPr>
            </w:pPr>
            <w:r>
              <w:rPr>
                <w:b w:val="0"/>
              </w:rPr>
              <w:t>Downward movement</w:t>
            </w:r>
          </w:p>
        </w:tc>
        <w:tc>
          <w:tcPr>
            <w:tcW w:w="3465" w:type="dxa"/>
            <w:shd w:val="clear" w:color="auto" w:fill="auto"/>
            <w:tcMar>
              <w:top w:w="100" w:type="dxa"/>
              <w:left w:w="100" w:type="dxa"/>
              <w:bottom w:w="100" w:type="dxa"/>
              <w:right w:w="100" w:type="dxa"/>
            </w:tcMar>
          </w:tcPr>
          <w:p w14:paraId="64E1C96D" w14:textId="77777777" w:rsidR="003D5177" w:rsidRDefault="008839D7" w:rsidP="003247E3">
            <w:pPr>
              <w:widowControl w:val="0"/>
              <w:spacing w:line="360" w:lineRule="auto"/>
              <w:rPr>
                <w:b w:val="0"/>
              </w:rPr>
            </w:pPr>
            <w:r>
              <w:rPr>
                <w:b w:val="0"/>
              </w:rPr>
              <w:t>20%</w:t>
            </w:r>
          </w:p>
          <w:p w14:paraId="1D3E626A" w14:textId="77777777" w:rsidR="003D5177" w:rsidRDefault="00A64450" w:rsidP="003247E3">
            <w:pPr>
              <w:widowControl w:val="0"/>
              <w:spacing w:line="360" w:lineRule="auto"/>
              <w:rPr>
                <w:b w:val="0"/>
              </w:rPr>
            </w:pPr>
            <w:r>
              <w:rPr>
                <w:b w:val="0"/>
              </w:rPr>
              <w:t>8%</w:t>
            </w:r>
          </w:p>
          <w:p w14:paraId="29126AB4" w14:textId="6E4C0BEF" w:rsidR="00A64450" w:rsidRDefault="00A64450" w:rsidP="003247E3">
            <w:pPr>
              <w:widowControl w:val="0"/>
              <w:spacing w:line="360" w:lineRule="auto"/>
              <w:rPr>
                <w:b w:val="0"/>
              </w:rPr>
            </w:pPr>
            <w:r>
              <w:rPr>
                <w:b w:val="0"/>
              </w:rPr>
              <w:t>12%</w:t>
            </w:r>
          </w:p>
        </w:tc>
      </w:tr>
      <w:tr w:rsidR="003D5177" w14:paraId="2240D7A1" w14:textId="77777777" w:rsidTr="008F4D4B">
        <w:trPr>
          <w:trHeight w:val="340"/>
          <w:tblHeader/>
        </w:trPr>
        <w:tc>
          <w:tcPr>
            <w:tcW w:w="5895" w:type="dxa"/>
            <w:shd w:val="clear" w:color="auto" w:fill="auto"/>
            <w:tcMar>
              <w:top w:w="100" w:type="dxa"/>
              <w:left w:w="100" w:type="dxa"/>
              <w:bottom w:w="100" w:type="dxa"/>
              <w:right w:w="100" w:type="dxa"/>
            </w:tcMar>
          </w:tcPr>
          <w:p w14:paraId="4B6B7A79" w14:textId="37955163" w:rsidR="003D5177" w:rsidRPr="00815C04" w:rsidRDefault="008839D7" w:rsidP="00815C04">
            <w:pPr>
              <w:widowControl w:val="0"/>
              <w:numPr>
                <w:ilvl w:val="0"/>
                <w:numId w:val="2"/>
              </w:numPr>
              <w:spacing w:line="360" w:lineRule="auto"/>
              <w:rPr>
                <w:b w:val="0"/>
              </w:rPr>
            </w:pPr>
            <w:r>
              <w:rPr>
                <w:b w:val="0"/>
              </w:rPr>
              <w:t>Horizontal movement</w:t>
            </w:r>
            <w:r w:rsidR="00815C04">
              <w:rPr>
                <w:b w:val="0"/>
              </w:rPr>
              <w:t xml:space="preserve"> (along X and Y axes)</w:t>
            </w:r>
          </w:p>
        </w:tc>
        <w:tc>
          <w:tcPr>
            <w:tcW w:w="3465" w:type="dxa"/>
            <w:shd w:val="clear" w:color="auto" w:fill="auto"/>
            <w:tcMar>
              <w:top w:w="100" w:type="dxa"/>
              <w:left w:w="100" w:type="dxa"/>
              <w:bottom w:w="100" w:type="dxa"/>
              <w:right w:w="100" w:type="dxa"/>
            </w:tcMar>
          </w:tcPr>
          <w:p w14:paraId="75463EA8" w14:textId="77777777" w:rsidR="003D5177" w:rsidRDefault="008839D7" w:rsidP="003247E3">
            <w:pPr>
              <w:widowControl w:val="0"/>
              <w:spacing w:line="360" w:lineRule="auto"/>
              <w:rPr>
                <w:b w:val="0"/>
              </w:rPr>
            </w:pPr>
            <w:r>
              <w:rPr>
                <w:b w:val="0"/>
              </w:rPr>
              <w:t>80%</w:t>
            </w:r>
          </w:p>
          <w:p w14:paraId="22DEB6E8" w14:textId="08F27B3B" w:rsidR="003D5177" w:rsidRDefault="003D5177" w:rsidP="003247E3">
            <w:pPr>
              <w:widowControl w:val="0"/>
              <w:spacing w:line="360" w:lineRule="auto"/>
              <w:rPr>
                <w:b w:val="0"/>
              </w:rPr>
            </w:pPr>
          </w:p>
          <w:p w14:paraId="551BB021" w14:textId="56F6E678" w:rsidR="003D5177" w:rsidRDefault="003D5177" w:rsidP="003247E3">
            <w:pPr>
              <w:widowControl w:val="0"/>
              <w:spacing w:line="360" w:lineRule="auto"/>
              <w:rPr>
                <w:b w:val="0"/>
              </w:rPr>
            </w:pPr>
          </w:p>
        </w:tc>
      </w:tr>
      <w:tr w:rsidR="003D5177" w14:paraId="1C8AFFC4" w14:textId="77777777" w:rsidTr="008F4D4B">
        <w:trPr>
          <w:trHeight w:val="567"/>
          <w:tblHeader/>
        </w:trPr>
        <w:tc>
          <w:tcPr>
            <w:tcW w:w="9360" w:type="dxa"/>
            <w:gridSpan w:val="2"/>
            <w:shd w:val="clear" w:color="auto" w:fill="auto"/>
            <w:tcMar>
              <w:top w:w="100" w:type="dxa"/>
              <w:left w:w="100" w:type="dxa"/>
              <w:bottom w:w="100" w:type="dxa"/>
              <w:right w:w="100" w:type="dxa"/>
            </w:tcMar>
          </w:tcPr>
          <w:p w14:paraId="2C9CF5B6" w14:textId="77777777" w:rsidR="003D5177" w:rsidRDefault="008839D7" w:rsidP="003247E3">
            <w:pPr>
              <w:widowControl w:val="0"/>
              <w:spacing w:line="360" w:lineRule="auto"/>
              <w:jc w:val="center"/>
              <w:rPr>
                <w:b w:val="0"/>
              </w:rPr>
            </w:pPr>
            <w:r>
              <w:rPr>
                <w:b w:val="0"/>
              </w:rPr>
              <w:t>Tilted Lattice Probabilities</w:t>
            </w:r>
          </w:p>
        </w:tc>
      </w:tr>
      <w:tr w:rsidR="003D5177" w14:paraId="07847E90" w14:textId="77777777" w:rsidTr="008F4D4B">
        <w:trPr>
          <w:trHeight w:val="567"/>
          <w:tblHeader/>
        </w:trPr>
        <w:tc>
          <w:tcPr>
            <w:tcW w:w="5895" w:type="dxa"/>
            <w:shd w:val="clear" w:color="auto" w:fill="auto"/>
            <w:tcMar>
              <w:top w:w="100" w:type="dxa"/>
              <w:left w:w="100" w:type="dxa"/>
              <w:bottom w:w="100" w:type="dxa"/>
              <w:right w:w="100" w:type="dxa"/>
            </w:tcMar>
          </w:tcPr>
          <w:p w14:paraId="1B82C1F8" w14:textId="77777777" w:rsidR="003D5177" w:rsidRDefault="008839D7" w:rsidP="003247E3">
            <w:pPr>
              <w:widowControl w:val="0"/>
              <w:spacing w:line="360" w:lineRule="auto"/>
              <w:jc w:val="center"/>
              <w:rPr>
                <w:b w:val="0"/>
              </w:rPr>
            </w:pPr>
            <w:r>
              <w:rPr>
                <w:b w:val="0"/>
              </w:rPr>
              <w:t>Preferred Movement</w:t>
            </w:r>
          </w:p>
        </w:tc>
        <w:tc>
          <w:tcPr>
            <w:tcW w:w="3465" w:type="dxa"/>
            <w:shd w:val="clear" w:color="auto" w:fill="auto"/>
            <w:tcMar>
              <w:top w:w="100" w:type="dxa"/>
              <w:left w:w="100" w:type="dxa"/>
              <w:bottom w:w="100" w:type="dxa"/>
              <w:right w:w="100" w:type="dxa"/>
            </w:tcMar>
          </w:tcPr>
          <w:p w14:paraId="025810AD" w14:textId="77777777" w:rsidR="003D5177" w:rsidRDefault="008839D7" w:rsidP="003247E3">
            <w:pPr>
              <w:widowControl w:val="0"/>
              <w:spacing w:line="360" w:lineRule="auto"/>
              <w:jc w:val="center"/>
              <w:rPr>
                <w:b w:val="0"/>
              </w:rPr>
            </w:pPr>
            <w:r>
              <w:rPr>
                <w:b w:val="0"/>
              </w:rPr>
              <w:t>Probability</w:t>
            </w:r>
          </w:p>
        </w:tc>
      </w:tr>
      <w:tr w:rsidR="003D5177" w14:paraId="73344590" w14:textId="77777777" w:rsidTr="008F4D4B">
        <w:trPr>
          <w:trHeight w:val="567"/>
          <w:tblHeader/>
        </w:trPr>
        <w:tc>
          <w:tcPr>
            <w:tcW w:w="5895" w:type="dxa"/>
            <w:shd w:val="clear" w:color="auto" w:fill="auto"/>
            <w:tcMar>
              <w:top w:w="100" w:type="dxa"/>
              <w:left w:w="100" w:type="dxa"/>
              <w:bottom w:w="100" w:type="dxa"/>
              <w:right w:w="100" w:type="dxa"/>
            </w:tcMar>
          </w:tcPr>
          <w:p w14:paraId="6202E80F" w14:textId="5098B351" w:rsidR="003D5177" w:rsidRPr="00815C04" w:rsidRDefault="003D02A1" w:rsidP="00815C04">
            <w:pPr>
              <w:widowControl w:val="0"/>
              <w:numPr>
                <w:ilvl w:val="0"/>
                <w:numId w:val="2"/>
              </w:numPr>
              <w:spacing w:line="360" w:lineRule="auto"/>
              <w:rPr>
                <w:b w:val="0"/>
              </w:rPr>
            </w:pPr>
            <w:r>
              <w:rPr>
                <w:b w:val="0"/>
              </w:rPr>
              <w:t xml:space="preserve">Movement along </w:t>
            </w:r>
            <w:r w:rsidR="00815C04">
              <w:rPr>
                <w:b w:val="0"/>
              </w:rPr>
              <w:t xml:space="preserve">A, B and </w:t>
            </w:r>
            <w:r>
              <w:rPr>
                <w:b w:val="0"/>
              </w:rPr>
              <w:t>C ax</w:t>
            </w:r>
            <w:r w:rsidR="00815C04">
              <w:rPr>
                <w:b w:val="0"/>
              </w:rPr>
              <w:t>es</w:t>
            </w:r>
          </w:p>
        </w:tc>
        <w:tc>
          <w:tcPr>
            <w:tcW w:w="3465" w:type="dxa"/>
            <w:shd w:val="clear" w:color="auto" w:fill="auto"/>
            <w:tcMar>
              <w:top w:w="100" w:type="dxa"/>
              <w:left w:w="100" w:type="dxa"/>
              <w:bottom w:w="100" w:type="dxa"/>
              <w:right w:w="100" w:type="dxa"/>
            </w:tcMar>
          </w:tcPr>
          <w:p w14:paraId="248D7A3E" w14:textId="7B775FA9" w:rsidR="003D5177" w:rsidRDefault="008839D7" w:rsidP="003247E3">
            <w:pPr>
              <w:widowControl w:val="0"/>
              <w:spacing w:line="360" w:lineRule="auto"/>
              <w:rPr>
                <w:b w:val="0"/>
              </w:rPr>
            </w:pPr>
            <w:r>
              <w:rPr>
                <w:b w:val="0"/>
              </w:rPr>
              <w:t>33</w:t>
            </w:r>
            <w:r w:rsidR="00815C04">
              <w:rPr>
                <w:b w:val="0"/>
              </w:rPr>
              <w:t>.33</w:t>
            </w:r>
            <w:r>
              <w:rPr>
                <w:b w:val="0"/>
              </w:rPr>
              <w:t>%</w:t>
            </w:r>
          </w:p>
          <w:p w14:paraId="63774F90" w14:textId="13150ECB" w:rsidR="003D5177" w:rsidRDefault="003D5177" w:rsidP="003247E3">
            <w:pPr>
              <w:widowControl w:val="0"/>
              <w:spacing w:line="360" w:lineRule="auto"/>
              <w:rPr>
                <w:b w:val="0"/>
              </w:rPr>
            </w:pPr>
          </w:p>
        </w:tc>
      </w:tr>
    </w:tbl>
    <w:p w14:paraId="3B365855" w14:textId="01F9DC8F" w:rsidR="003D5177" w:rsidRDefault="003D5177" w:rsidP="003247E3">
      <w:pPr>
        <w:spacing w:line="360" w:lineRule="auto"/>
        <w:ind w:left="0" w:firstLine="0"/>
        <w:jc w:val="both"/>
        <w:rPr>
          <w:b w:val="0"/>
        </w:rPr>
      </w:pPr>
    </w:p>
    <w:p w14:paraId="698F1D02" w14:textId="19C518E0" w:rsidR="004C439F" w:rsidRDefault="004C439F" w:rsidP="003247E3">
      <w:pPr>
        <w:spacing w:line="360" w:lineRule="auto"/>
        <w:ind w:left="0" w:firstLine="0"/>
        <w:jc w:val="both"/>
        <w:rPr>
          <w:b w:val="0"/>
        </w:rPr>
      </w:pPr>
    </w:p>
    <w:p w14:paraId="3957F9B4" w14:textId="552C92A5" w:rsidR="004C439F" w:rsidRDefault="004C439F" w:rsidP="003247E3">
      <w:pPr>
        <w:spacing w:line="360" w:lineRule="auto"/>
        <w:ind w:left="0" w:firstLine="0"/>
        <w:jc w:val="both"/>
        <w:rPr>
          <w:b w:val="0"/>
        </w:rPr>
      </w:pPr>
    </w:p>
    <w:p w14:paraId="2A02A340" w14:textId="5819BC0D" w:rsidR="004C439F" w:rsidRDefault="004C439F" w:rsidP="003247E3">
      <w:pPr>
        <w:spacing w:line="360" w:lineRule="auto"/>
        <w:ind w:left="0" w:firstLine="0"/>
        <w:jc w:val="both"/>
        <w:rPr>
          <w:b w:val="0"/>
        </w:rPr>
      </w:pPr>
    </w:p>
    <w:p w14:paraId="6E502632" w14:textId="092B0A6C" w:rsidR="004C439F" w:rsidRDefault="004C439F" w:rsidP="003247E3">
      <w:pPr>
        <w:spacing w:line="360" w:lineRule="auto"/>
        <w:ind w:left="0" w:firstLine="0"/>
        <w:jc w:val="both"/>
        <w:rPr>
          <w:b w:val="0"/>
        </w:rPr>
      </w:pPr>
    </w:p>
    <w:p w14:paraId="533B9139" w14:textId="6D8E37D0" w:rsidR="004C439F" w:rsidRDefault="004C439F" w:rsidP="003247E3">
      <w:pPr>
        <w:spacing w:line="360" w:lineRule="auto"/>
        <w:ind w:left="0" w:firstLine="0"/>
        <w:jc w:val="both"/>
        <w:rPr>
          <w:b w:val="0"/>
        </w:rPr>
      </w:pPr>
    </w:p>
    <w:p w14:paraId="0400087F" w14:textId="77777777" w:rsidR="004C439F" w:rsidRDefault="004C439F" w:rsidP="003247E3">
      <w:pPr>
        <w:spacing w:line="360" w:lineRule="auto"/>
        <w:ind w:left="0" w:firstLine="0"/>
        <w:jc w:val="both"/>
      </w:pPr>
    </w:p>
    <w:p w14:paraId="2EE79922" w14:textId="77777777" w:rsidR="003D5177" w:rsidRDefault="008839D7" w:rsidP="003247E3">
      <w:pPr>
        <w:numPr>
          <w:ilvl w:val="0"/>
          <w:numId w:val="1"/>
        </w:numPr>
        <w:spacing w:line="360" w:lineRule="auto"/>
        <w:jc w:val="both"/>
      </w:pPr>
      <w:r>
        <w:t>Place cells and firing fields</w:t>
      </w:r>
    </w:p>
    <w:p w14:paraId="05EA888B" w14:textId="3DE7AE00" w:rsidR="003D5177" w:rsidRDefault="003D5177" w:rsidP="003247E3">
      <w:pPr>
        <w:spacing w:line="360" w:lineRule="auto"/>
        <w:ind w:firstLine="0"/>
        <w:jc w:val="both"/>
        <w:rPr>
          <w:b w:val="0"/>
        </w:rPr>
      </w:pPr>
    </w:p>
    <w:p w14:paraId="755FF292" w14:textId="2AB21E22" w:rsidR="00BF10EB" w:rsidRDefault="00C8597C" w:rsidP="00C8597C">
      <w:pPr>
        <w:spacing w:line="360" w:lineRule="auto"/>
        <w:ind w:firstLine="0"/>
        <w:jc w:val="center"/>
        <w:rPr>
          <w:b w:val="0"/>
        </w:rPr>
      </w:pPr>
      <w:r>
        <w:rPr>
          <w:b w:val="0"/>
          <w:noProof/>
        </w:rPr>
        <w:lastRenderedPageBreak/>
        <w:drawing>
          <wp:inline distT="0" distB="0" distL="0" distR="0" wp14:anchorId="0E3ADA38" wp14:editId="54F153AB">
            <wp:extent cx="5943600" cy="33432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011EE92" w14:textId="533A8A59" w:rsidR="00C8597C" w:rsidRDefault="00C8597C" w:rsidP="00C8597C">
      <w:pPr>
        <w:spacing w:line="360" w:lineRule="auto"/>
        <w:ind w:firstLine="0"/>
        <w:jc w:val="center"/>
        <w:rPr>
          <w:b w:val="0"/>
        </w:rPr>
      </w:pPr>
      <w:r>
        <w:rPr>
          <w:b w:val="0"/>
          <w:noProof/>
        </w:rPr>
        <w:drawing>
          <wp:inline distT="0" distB="0" distL="0" distR="0" wp14:anchorId="1C30926F" wp14:editId="4693F63A">
            <wp:extent cx="5943600" cy="17025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9" cstate="print">
                      <a:extLst>
                        <a:ext uri="{28A0092B-C50C-407E-A947-70E740481C1C}">
                          <a14:useLocalDpi xmlns:a14="http://schemas.microsoft.com/office/drawing/2010/main" val="0"/>
                        </a:ext>
                      </a:extLst>
                    </a:blip>
                    <a:srcRect t="6547"/>
                    <a:stretch/>
                  </pic:blipFill>
                  <pic:spPr bwMode="auto">
                    <a:xfrm>
                      <a:off x="0" y="0"/>
                      <a:ext cx="5943600" cy="1702545"/>
                    </a:xfrm>
                    <a:prstGeom prst="rect">
                      <a:avLst/>
                    </a:prstGeom>
                    <a:ln>
                      <a:noFill/>
                    </a:ln>
                    <a:extLst>
                      <a:ext uri="{53640926-AAD7-44D8-BBD7-CCE9431645EC}">
                        <a14:shadowObscured xmlns:a14="http://schemas.microsoft.com/office/drawing/2010/main"/>
                      </a:ext>
                    </a:extLst>
                  </pic:spPr>
                </pic:pic>
              </a:graphicData>
            </a:graphic>
          </wp:inline>
        </w:drawing>
      </w:r>
    </w:p>
    <w:p w14:paraId="1184F226" w14:textId="5AF0817E" w:rsidR="003D5177" w:rsidRDefault="008839D7" w:rsidP="003247E3">
      <w:pPr>
        <w:spacing w:line="360" w:lineRule="auto"/>
        <w:ind w:firstLine="0"/>
        <w:jc w:val="both"/>
        <w:rPr>
          <w:b w:val="0"/>
          <w:i/>
        </w:rPr>
      </w:pPr>
      <w:r>
        <w:rPr>
          <w:b w:val="0"/>
          <w:i/>
        </w:rPr>
        <w:t>Fig</w:t>
      </w:r>
      <w:r w:rsidR="00BE01E8">
        <w:rPr>
          <w:b w:val="0"/>
          <w:i/>
        </w:rPr>
        <w:t>ure</w:t>
      </w:r>
      <w:r>
        <w:rPr>
          <w:b w:val="0"/>
          <w:i/>
        </w:rPr>
        <w:t xml:space="preserve"> S1</w:t>
      </w:r>
      <w:r w:rsidR="00BA7630">
        <w:rPr>
          <w:b w:val="0"/>
          <w:i/>
        </w:rPr>
        <w:t>.1</w:t>
      </w:r>
      <w:r>
        <w:rPr>
          <w:b w:val="0"/>
          <w:i/>
        </w:rPr>
        <w:t>:</w:t>
      </w:r>
      <w:r w:rsidR="00BF10EB">
        <w:rPr>
          <w:b w:val="0"/>
          <w:i/>
        </w:rPr>
        <w:t xml:space="preserve"> </w:t>
      </w:r>
      <w:r w:rsidR="00227A86">
        <w:rPr>
          <w:b w:val="0"/>
          <w:i/>
        </w:rPr>
        <w:t xml:space="preserve">Firing rate maps </w:t>
      </w:r>
      <w:r w:rsidR="00665A7B">
        <w:rPr>
          <w:b w:val="0"/>
          <w:i/>
        </w:rPr>
        <w:t>of</w:t>
      </w:r>
      <w:r w:rsidR="00A81FC1">
        <w:rPr>
          <w:b w:val="0"/>
          <w:i/>
        </w:rPr>
        <w:t xml:space="preserve"> all the</w:t>
      </w:r>
      <w:r w:rsidR="00665A7B">
        <w:rPr>
          <w:b w:val="0"/>
          <w:i/>
        </w:rPr>
        <w:t xml:space="preserve"> place cells in 2D arena</w:t>
      </w:r>
      <w:r w:rsidR="009A1AD4">
        <w:rPr>
          <w:b w:val="0"/>
          <w:i/>
        </w:rPr>
        <w:t xml:space="preserve"> </w:t>
      </w:r>
      <w:r w:rsidR="00A81FC1">
        <w:rPr>
          <w:b w:val="0"/>
          <w:i/>
        </w:rPr>
        <w:t>(1</w:t>
      </w:r>
      <w:r w:rsidR="002A669B" w:rsidRPr="002A669B">
        <w:rPr>
          <w:b w:val="0"/>
          <w:i/>
          <w:vertAlign w:val="superscript"/>
        </w:rPr>
        <w:t>st</w:t>
      </w:r>
      <w:r w:rsidR="002A669B">
        <w:rPr>
          <w:b w:val="0"/>
          <w:i/>
        </w:rPr>
        <w:t xml:space="preserve"> and 4</w:t>
      </w:r>
      <w:r w:rsidR="002A669B" w:rsidRPr="002A669B">
        <w:rPr>
          <w:b w:val="0"/>
          <w:i/>
          <w:vertAlign w:val="superscript"/>
        </w:rPr>
        <w:t>th</w:t>
      </w:r>
      <w:r w:rsidR="002A669B">
        <w:rPr>
          <w:b w:val="0"/>
          <w:i/>
        </w:rPr>
        <w:t xml:space="preserve"> columns)</w:t>
      </w:r>
      <w:r w:rsidR="00665A7B">
        <w:rPr>
          <w:b w:val="0"/>
          <w:i/>
        </w:rPr>
        <w:t>, f</w:t>
      </w:r>
      <w:r w:rsidR="00BF10EB">
        <w:rPr>
          <w:b w:val="0"/>
          <w:i/>
        </w:rPr>
        <w:t>iring fields</w:t>
      </w:r>
      <w:r w:rsidR="009A1AD4">
        <w:rPr>
          <w:b w:val="0"/>
          <w:i/>
        </w:rPr>
        <w:t xml:space="preserve"> </w:t>
      </w:r>
      <w:r w:rsidR="002A669B">
        <w:rPr>
          <w:b w:val="0"/>
          <w:i/>
        </w:rPr>
        <w:t>(2</w:t>
      </w:r>
      <w:r w:rsidR="002A669B" w:rsidRPr="002A669B">
        <w:rPr>
          <w:b w:val="0"/>
          <w:i/>
          <w:vertAlign w:val="superscript"/>
        </w:rPr>
        <w:t>nd</w:t>
      </w:r>
      <w:r w:rsidR="002A669B">
        <w:rPr>
          <w:b w:val="0"/>
          <w:i/>
        </w:rPr>
        <w:t xml:space="preserve"> and 6</w:t>
      </w:r>
      <w:r w:rsidR="002A669B" w:rsidRPr="002A669B">
        <w:rPr>
          <w:b w:val="0"/>
          <w:i/>
          <w:vertAlign w:val="superscript"/>
        </w:rPr>
        <w:t>th</w:t>
      </w:r>
      <w:r w:rsidR="002A669B">
        <w:rPr>
          <w:b w:val="0"/>
          <w:i/>
        </w:rPr>
        <w:t xml:space="preserve"> </w:t>
      </w:r>
      <w:r w:rsidR="00FB7BE4">
        <w:rPr>
          <w:b w:val="0"/>
          <w:i/>
        </w:rPr>
        <w:t>columns</w:t>
      </w:r>
      <w:r w:rsidR="002A669B">
        <w:rPr>
          <w:b w:val="0"/>
          <w:i/>
        </w:rPr>
        <w:t>)</w:t>
      </w:r>
      <w:r w:rsidR="00BF10EB">
        <w:rPr>
          <w:b w:val="0"/>
          <w:i/>
        </w:rPr>
        <w:t xml:space="preserve"> and firing rate maps</w:t>
      </w:r>
      <w:r w:rsidR="00FB7BE4">
        <w:rPr>
          <w:b w:val="0"/>
          <w:i/>
        </w:rPr>
        <w:t xml:space="preserve"> (3</w:t>
      </w:r>
      <w:r w:rsidR="00FB7BE4" w:rsidRPr="00FB7BE4">
        <w:rPr>
          <w:b w:val="0"/>
          <w:i/>
          <w:vertAlign w:val="superscript"/>
        </w:rPr>
        <w:t>rd</w:t>
      </w:r>
      <w:r w:rsidR="00FB7BE4">
        <w:rPr>
          <w:b w:val="0"/>
          <w:i/>
        </w:rPr>
        <w:t xml:space="preserve"> and 6</w:t>
      </w:r>
      <w:r w:rsidR="00FB7BE4" w:rsidRPr="00FB7BE4">
        <w:rPr>
          <w:b w:val="0"/>
          <w:i/>
          <w:vertAlign w:val="superscript"/>
        </w:rPr>
        <w:t>th</w:t>
      </w:r>
      <w:r w:rsidR="00FB7BE4">
        <w:rPr>
          <w:b w:val="0"/>
          <w:i/>
        </w:rPr>
        <w:t xml:space="preserve"> columns)</w:t>
      </w:r>
      <w:r w:rsidR="0047245D">
        <w:rPr>
          <w:b w:val="0"/>
          <w:i/>
        </w:rPr>
        <w:t xml:space="preserve"> of the </w:t>
      </w:r>
      <w:r w:rsidR="009A1AD4">
        <w:rPr>
          <w:b w:val="0"/>
          <w:i/>
        </w:rPr>
        <w:t>corresponding place</w:t>
      </w:r>
      <w:r w:rsidR="00BF10EB">
        <w:rPr>
          <w:b w:val="0"/>
          <w:i/>
        </w:rPr>
        <w:t xml:space="preserve"> cells in aligned lattice maze</w:t>
      </w:r>
      <w:r>
        <w:rPr>
          <w:b w:val="0"/>
          <w:i/>
        </w:rPr>
        <w:t>.</w:t>
      </w:r>
    </w:p>
    <w:p w14:paraId="358C07D4" w14:textId="601455C2" w:rsidR="00BF10EB" w:rsidRDefault="002D2F95" w:rsidP="003247E3">
      <w:pPr>
        <w:spacing w:line="360" w:lineRule="auto"/>
        <w:ind w:firstLine="0"/>
        <w:jc w:val="both"/>
        <w:rPr>
          <w:b w:val="0"/>
          <w:i/>
        </w:rPr>
      </w:pPr>
      <w:r>
        <w:rPr>
          <w:b w:val="0"/>
          <w:i/>
          <w:noProof/>
        </w:rPr>
        <w:lastRenderedPageBreak/>
        <w:drawing>
          <wp:inline distT="0" distB="0" distL="0" distR="0" wp14:anchorId="072AE8AB" wp14:editId="10D49683">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E3EDAF0" w14:textId="46C076D6" w:rsidR="00BA7630" w:rsidRDefault="002D2F95" w:rsidP="002D2F95">
      <w:pPr>
        <w:spacing w:line="360" w:lineRule="auto"/>
        <w:ind w:firstLine="0"/>
        <w:jc w:val="both"/>
        <w:rPr>
          <w:b w:val="0"/>
          <w:i/>
        </w:rPr>
      </w:pPr>
      <w:r>
        <w:rPr>
          <w:b w:val="0"/>
          <w:i/>
          <w:noProof/>
        </w:rPr>
        <w:drawing>
          <wp:inline distT="0" distB="0" distL="0" distR="0" wp14:anchorId="73CAD5D0" wp14:editId="28C7D713">
            <wp:extent cx="5943600" cy="1726344"/>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11" cstate="print">
                      <a:extLst>
                        <a:ext uri="{28A0092B-C50C-407E-A947-70E740481C1C}">
                          <a14:useLocalDpi xmlns:a14="http://schemas.microsoft.com/office/drawing/2010/main" val="0"/>
                        </a:ext>
                      </a:extLst>
                    </a:blip>
                    <a:srcRect t="6864"/>
                    <a:stretch/>
                  </pic:blipFill>
                  <pic:spPr bwMode="auto">
                    <a:xfrm>
                      <a:off x="0" y="0"/>
                      <a:ext cx="5943600" cy="1726344"/>
                    </a:xfrm>
                    <a:prstGeom prst="rect">
                      <a:avLst/>
                    </a:prstGeom>
                    <a:ln>
                      <a:noFill/>
                    </a:ln>
                    <a:extLst>
                      <a:ext uri="{53640926-AAD7-44D8-BBD7-CCE9431645EC}">
                        <a14:shadowObscured xmlns:a14="http://schemas.microsoft.com/office/drawing/2010/main"/>
                      </a:ext>
                    </a:extLst>
                  </pic:spPr>
                </pic:pic>
              </a:graphicData>
            </a:graphic>
          </wp:inline>
        </w:drawing>
      </w:r>
    </w:p>
    <w:p w14:paraId="344A5161" w14:textId="0ADFE338" w:rsidR="003D5177" w:rsidRDefault="00BA7630" w:rsidP="003247E3">
      <w:pPr>
        <w:spacing w:line="360" w:lineRule="auto"/>
        <w:ind w:firstLine="0"/>
        <w:jc w:val="both"/>
        <w:rPr>
          <w:b w:val="0"/>
          <w:i/>
        </w:rPr>
      </w:pPr>
      <w:r w:rsidRPr="002D2F95">
        <w:rPr>
          <w:b w:val="0"/>
          <w:i/>
          <w:iCs/>
        </w:rPr>
        <w:t>Figure S1.2:</w:t>
      </w:r>
      <w:r>
        <w:rPr>
          <w:b w:val="0"/>
        </w:rPr>
        <w:t xml:space="preserve">  </w:t>
      </w:r>
      <w:r w:rsidR="009A1AD4">
        <w:rPr>
          <w:b w:val="0"/>
          <w:i/>
        </w:rPr>
        <w:t>Firing rate maps of all the place cells in 2D arena (1</w:t>
      </w:r>
      <w:r w:rsidR="009A1AD4" w:rsidRPr="002A669B">
        <w:rPr>
          <w:b w:val="0"/>
          <w:i/>
          <w:vertAlign w:val="superscript"/>
        </w:rPr>
        <w:t>st</w:t>
      </w:r>
      <w:r w:rsidR="009A1AD4">
        <w:rPr>
          <w:b w:val="0"/>
          <w:i/>
        </w:rPr>
        <w:t xml:space="preserve"> and 4</w:t>
      </w:r>
      <w:r w:rsidR="009A1AD4" w:rsidRPr="002A669B">
        <w:rPr>
          <w:b w:val="0"/>
          <w:i/>
          <w:vertAlign w:val="superscript"/>
        </w:rPr>
        <w:t>th</w:t>
      </w:r>
      <w:r w:rsidR="009A1AD4">
        <w:rPr>
          <w:b w:val="0"/>
          <w:i/>
        </w:rPr>
        <w:t xml:space="preserve"> columns), firing fields (2</w:t>
      </w:r>
      <w:r w:rsidR="009A1AD4" w:rsidRPr="002A669B">
        <w:rPr>
          <w:b w:val="0"/>
          <w:i/>
          <w:vertAlign w:val="superscript"/>
        </w:rPr>
        <w:t>nd</w:t>
      </w:r>
      <w:r w:rsidR="009A1AD4">
        <w:rPr>
          <w:b w:val="0"/>
          <w:i/>
        </w:rPr>
        <w:t xml:space="preserve"> and 6</w:t>
      </w:r>
      <w:r w:rsidR="009A1AD4" w:rsidRPr="002A669B">
        <w:rPr>
          <w:b w:val="0"/>
          <w:i/>
          <w:vertAlign w:val="superscript"/>
        </w:rPr>
        <w:t>th</w:t>
      </w:r>
      <w:r w:rsidR="009A1AD4">
        <w:rPr>
          <w:b w:val="0"/>
          <w:i/>
        </w:rPr>
        <w:t xml:space="preserve"> columns) and firing rate maps (3</w:t>
      </w:r>
      <w:r w:rsidR="009A1AD4" w:rsidRPr="00FB7BE4">
        <w:rPr>
          <w:b w:val="0"/>
          <w:i/>
          <w:vertAlign w:val="superscript"/>
        </w:rPr>
        <w:t>rd</w:t>
      </w:r>
      <w:r w:rsidR="009A1AD4">
        <w:rPr>
          <w:b w:val="0"/>
          <w:i/>
        </w:rPr>
        <w:t xml:space="preserve"> and 6</w:t>
      </w:r>
      <w:r w:rsidR="009A1AD4" w:rsidRPr="00FB7BE4">
        <w:rPr>
          <w:b w:val="0"/>
          <w:i/>
          <w:vertAlign w:val="superscript"/>
        </w:rPr>
        <w:t>th</w:t>
      </w:r>
      <w:r w:rsidR="009A1AD4">
        <w:rPr>
          <w:b w:val="0"/>
          <w:i/>
        </w:rPr>
        <w:t xml:space="preserve"> columns) of the corresponding place cells in </w:t>
      </w:r>
      <w:r w:rsidR="009A1AD4">
        <w:rPr>
          <w:b w:val="0"/>
          <w:i/>
        </w:rPr>
        <w:t>tilted</w:t>
      </w:r>
      <w:r w:rsidR="009A1AD4">
        <w:rPr>
          <w:b w:val="0"/>
          <w:i/>
        </w:rPr>
        <w:t xml:space="preserve"> lattice maze</w:t>
      </w:r>
      <w:r>
        <w:rPr>
          <w:b w:val="0"/>
          <w:i/>
        </w:rPr>
        <w:t>.</w:t>
      </w:r>
    </w:p>
    <w:p w14:paraId="36208620" w14:textId="77777777" w:rsidR="00BA7630" w:rsidRDefault="00BA7630" w:rsidP="003247E3">
      <w:pPr>
        <w:spacing w:line="360" w:lineRule="auto"/>
        <w:ind w:firstLine="0"/>
        <w:jc w:val="both"/>
        <w:rPr>
          <w:b w:val="0"/>
        </w:rPr>
      </w:pPr>
    </w:p>
    <w:p w14:paraId="2220CB36" w14:textId="77777777" w:rsidR="003D5177" w:rsidRDefault="008839D7" w:rsidP="003247E3">
      <w:pPr>
        <w:numPr>
          <w:ilvl w:val="0"/>
          <w:numId w:val="1"/>
        </w:numPr>
        <w:spacing w:line="360" w:lineRule="auto"/>
        <w:rPr>
          <w:b w:val="0"/>
        </w:rPr>
      </w:pPr>
      <w:r>
        <w:t>Distribution of fields</w:t>
      </w:r>
      <w:r>
        <w:rPr>
          <w:b w:val="0"/>
        </w:rPr>
        <w:t>:</w:t>
      </w:r>
    </w:p>
    <w:p w14:paraId="5F208958" w14:textId="7378EEAB" w:rsidR="003D5177" w:rsidRDefault="008839D7" w:rsidP="003247E3">
      <w:pPr>
        <w:spacing w:line="360" w:lineRule="auto"/>
        <w:ind w:firstLine="0"/>
        <w:jc w:val="both"/>
        <w:rPr>
          <w:b w:val="0"/>
        </w:rPr>
      </w:pPr>
      <w:r>
        <w:rPr>
          <w:b w:val="0"/>
        </w:rPr>
        <w:t>We extracted the centroids for all the place fields in the lattice maze</w:t>
      </w:r>
      <w:r w:rsidR="00773FFA">
        <w:rPr>
          <w:b w:val="0"/>
        </w:rPr>
        <w:t>s</w:t>
      </w:r>
      <w:r>
        <w:rPr>
          <w:b w:val="0"/>
        </w:rPr>
        <w:t xml:space="preserve"> (</w:t>
      </w:r>
      <w:r>
        <w:rPr>
          <w:b w:val="0"/>
          <w:i/>
        </w:rPr>
        <w:t>regionprops3)</w:t>
      </w:r>
      <w:r>
        <w:rPr>
          <w:b w:val="0"/>
        </w:rPr>
        <w:t xml:space="preserve"> and calculated their medians along each axis. </w:t>
      </w:r>
      <w:r w:rsidR="00455541" w:rsidRPr="00455541">
        <w:rPr>
          <w:b w:val="0"/>
        </w:rPr>
        <w:t>We created a distribution of medians for each axis to test whether the fields were distributed uniformly inside the lattice volume</w:t>
      </w:r>
      <w:r>
        <w:rPr>
          <w:b w:val="0"/>
        </w:rPr>
        <w:t>. To achieve this</w:t>
      </w:r>
      <w:r w:rsidR="00455541">
        <w:rPr>
          <w:b w:val="0"/>
        </w:rPr>
        <w:t>,</w:t>
      </w:r>
      <w:r>
        <w:rPr>
          <w:b w:val="0"/>
        </w:rPr>
        <w:t xml:space="preserve"> N random points (equal to the number of fields) were generated and their median was calculated along each axis. This was performed 1000 times for each maze. If the median for a certain axis falls between </w:t>
      </w:r>
      <w:r w:rsidR="00455541">
        <w:rPr>
          <w:b w:val="0"/>
        </w:rPr>
        <w:t xml:space="preserve">the </w:t>
      </w:r>
      <w:r>
        <w:rPr>
          <w:b w:val="0"/>
        </w:rPr>
        <w:t>2.5</w:t>
      </w:r>
      <w:r w:rsidR="00EE1C75" w:rsidRPr="00521288">
        <w:rPr>
          <w:b w:val="0"/>
          <w:vertAlign w:val="superscript"/>
        </w:rPr>
        <w:t>th</w:t>
      </w:r>
      <w:r>
        <w:rPr>
          <w:b w:val="0"/>
        </w:rPr>
        <w:t xml:space="preserve"> and 97.5</w:t>
      </w:r>
      <w:r w:rsidRPr="00521288">
        <w:rPr>
          <w:b w:val="0"/>
          <w:vertAlign w:val="superscript"/>
        </w:rPr>
        <w:t>th</w:t>
      </w:r>
      <w:r>
        <w:rPr>
          <w:b w:val="0"/>
        </w:rPr>
        <w:t xml:space="preserve"> percentile of the distribution, place fields were considered uniformly distributed along that axis</w:t>
      </w:r>
      <w:r w:rsidR="00773FFA">
        <w:rPr>
          <w:b w:val="0"/>
        </w:rPr>
        <w:t xml:space="preserve"> (Fig 4 a3, b3)</w:t>
      </w:r>
      <w:r>
        <w:rPr>
          <w:b w:val="0"/>
        </w:rPr>
        <w:t>.</w:t>
      </w:r>
    </w:p>
    <w:p w14:paraId="7E41CDAE" w14:textId="77777777" w:rsidR="003D5177" w:rsidRDefault="003D5177" w:rsidP="003247E3">
      <w:pPr>
        <w:spacing w:line="360" w:lineRule="auto"/>
        <w:ind w:firstLine="0"/>
        <w:jc w:val="both"/>
        <w:rPr>
          <w:b w:val="0"/>
        </w:rPr>
      </w:pPr>
    </w:p>
    <w:p w14:paraId="3D7C8ED0" w14:textId="77777777" w:rsidR="003D5177" w:rsidRDefault="008839D7" w:rsidP="003247E3">
      <w:pPr>
        <w:numPr>
          <w:ilvl w:val="0"/>
          <w:numId w:val="1"/>
        </w:numPr>
        <w:spacing w:line="360" w:lineRule="auto"/>
      </w:pPr>
      <w:r>
        <w:t>Field Elongation:</w:t>
      </w:r>
    </w:p>
    <w:p w14:paraId="6E7F8C1D" w14:textId="7113D48F" w:rsidR="003D5177" w:rsidRDefault="008839D7" w:rsidP="003247E3">
      <w:pPr>
        <w:spacing w:line="360" w:lineRule="auto"/>
        <w:ind w:firstLine="0"/>
        <w:jc w:val="both"/>
        <w:rPr>
          <w:b w:val="0"/>
        </w:rPr>
      </w:pPr>
      <w:r>
        <w:rPr>
          <w:b w:val="0"/>
        </w:rPr>
        <w:t>To compare the elongation of the place field for both mazes</w:t>
      </w:r>
      <w:r w:rsidR="00455541">
        <w:rPr>
          <w:b w:val="0"/>
        </w:rPr>
        <w:t>,</w:t>
      </w:r>
      <w:r>
        <w:rPr>
          <w:b w:val="0"/>
        </w:rPr>
        <w:t xml:space="preserve"> we calculated the elongation indices for all place fields. The former was achieved by fitting an ellipsoid around it and calculating the principal axes components for each place field as inspired </w:t>
      </w:r>
      <w:r w:rsidR="00455541">
        <w:rPr>
          <w:b w:val="0"/>
        </w:rPr>
        <w:t>by</w:t>
      </w:r>
      <w:r>
        <w:rPr>
          <w:b w:val="0"/>
        </w:rPr>
        <w:t xml:space="preserve"> (</w:t>
      </w:r>
      <w:r w:rsidR="00BA7630">
        <w:rPr>
          <w:b w:val="0"/>
        </w:rPr>
        <w:t>S</w:t>
      </w:r>
      <w:r>
        <w:rPr>
          <w:b w:val="0"/>
        </w:rPr>
        <w:t>upplementary material</w:t>
      </w:r>
      <w:r w:rsidR="00773FFA">
        <w:rPr>
          <w:b w:val="0"/>
        </w:rPr>
        <w:t xml:space="preserve"> </w:t>
      </w:r>
      <w:r w:rsidR="00773FFA">
        <w:rPr>
          <w:b w:val="0"/>
        </w:rPr>
        <w:fldChar w:fldCharType="begin" w:fldLock="1"/>
      </w:r>
      <w:r w:rsidR="002D65EA">
        <w:rPr>
          <w:b w:val="0"/>
        </w:rPr>
        <w:instrText>ADDIN CSL_CITATION {"citationItems":[{"id":"ITEM-1","itemData":{"DOI":"10.1038/s41467-020-14611-7","ISSN":"2041-1723","PMID":"32034157","abstract":"Place cells are spatially modulated neurons found in the hippocampus that underlie spatial memory and navigation: how these neurons represent 3D space is crucial for a full understanding of spatial cognition. We wirelessly recorded place cells in rats as they explored a cubic lattice climbing frame which could be aligned or tilted with respect to gravity. Place cells represented the entire volume of the mazes: their activity tended to be aligned with the maze axes, and when it was more difficult for the animals to move vertically the cells represented space less accurately and less stably. These results demonstrate that even surface-dwelling animals represent 3D space and suggests there is a fundamental relationship between environment structure, gravity, movement and spatial memory. How the brain represents 3D space is poorly understood but important for understanding spatial cognition. Here the authors record place cells in rats climbing through a 3D environment and report that they represent this space with 3D fields that are elongated along the axes of the environment and encode the vertical dimension less accurately.","author":[{"dropping-particle":"","family":"Grieves","given":"Roddy M.","non-dropping-particle":"","parse-names":false,"suffix":""},{"dropping-particle":"","family":"Jedidi-Ayoub","given":"Selim","non-dropping-particle":"","parse-names":false,"suffix":""},{"dropping-particle":"","family":"Mishchanchuk","given":"Karyna","non-dropping-particle":"","parse-names":false,"suffix":""},{"dropping-particle":"","family":"Liu","given":"Anyi","non-dropping-particle":"","parse-names":false,"suffix":""},{"dropping-particle":"","family":"Renaudineau","given":"Sophie","non-dropping-particle":"","parse-names":false,"suffix":""},{"dropping-particle":"","family":"Jeffery","given":"Kate J.","non-dropping-particle":"","parse-names":false,"suffix":""}],"container-title":"Nature Communications 2020 11:1","id":"ITEM-1","issue":"1","issued":{"date-parts":[["2020","2","7"]]},"page":"1-13","publisher":"Nature Publishing Group","title":"The place-cell representation of volumetric space in rats","type":"article-journal","volume":"11"},"uris":["http://www.mendeley.com/documents/?uuid=9ff1c82c-3ffd-3805-a3ad-6dbc172fcc1f"]}],"mendeley":{"formattedCitation":"(Grieves et al. 2020)","plainTextFormattedCitation":"(Grieves et al. 2020)","previouslyFormattedCitation":"(Grieves et al. 2020)"},"properties":{"noteIndex":0},"schema":"https://github.com/citation-style-language/schema/raw/master/csl-citation.json"}</w:instrText>
      </w:r>
      <w:r w:rsidR="00773FFA">
        <w:rPr>
          <w:b w:val="0"/>
        </w:rPr>
        <w:fldChar w:fldCharType="separate"/>
      </w:r>
      <w:r w:rsidR="00773FFA" w:rsidRPr="00773FFA">
        <w:rPr>
          <w:b w:val="0"/>
          <w:noProof/>
        </w:rPr>
        <w:t>(Grieves et al. 2020)</w:t>
      </w:r>
      <w:r w:rsidR="00773FFA">
        <w:rPr>
          <w:b w:val="0"/>
        </w:rPr>
        <w:fldChar w:fldCharType="end"/>
      </w:r>
      <w:r>
        <w:rPr>
          <w:b w:val="0"/>
        </w:rPr>
        <w:t>). These principal axes were defined as the major axes of the ellipsoid. Further, an elongation index for each place field is defined as</w:t>
      </w:r>
    </w:p>
    <w:p w14:paraId="2E2F2A79" w14:textId="6A7FC476" w:rsidR="003D5177" w:rsidRDefault="003D5177" w:rsidP="003247E3">
      <w:pPr>
        <w:spacing w:line="360" w:lineRule="auto"/>
        <w:jc w:val="both"/>
        <w:rPr>
          <w:b w:val="0"/>
        </w:rPr>
      </w:pPr>
    </w:p>
    <w:p w14:paraId="792E92FC" w14:textId="768A27F8" w:rsidR="003D5177" w:rsidRPr="000F34A3" w:rsidRDefault="00773FFA" w:rsidP="003247E3">
      <w:pPr>
        <w:spacing w:line="360" w:lineRule="auto"/>
        <w:jc w:val="both"/>
        <w:rPr>
          <w:b w:val="0"/>
        </w:rPr>
      </w:pPr>
      <m:oMathPara>
        <m:oMath>
          <m:r>
            <m:rPr>
              <m:sty m:val="bi"/>
            </m:rPr>
            <w:rPr>
              <w:rFonts w:ascii="Cambria Math" w:hAnsi="Cambria Math"/>
            </w:rPr>
            <m:t>Field Elongation Index=</m:t>
          </m:r>
          <m:f>
            <m:fPr>
              <m:ctrlPr>
                <w:rPr>
                  <w:rFonts w:ascii="Cambria Math" w:hAnsi="Cambria Math"/>
                  <w:b w:val="0"/>
                  <w:i/>
                </w:rPr>
              </m:ctrlPr>
            </m:fPr>
            <m:num>
              <m:r>
                <m:rPr>
                  <m:sty m:val="bi"/>
                </m:rPr>
                <w:rPr>
                  <w:rFonts w:ascii="Cambria Math" w:hAnsi="Cambria Math"/>
                </w:rPr>
                <m:t>2</m:t>
              </m:r>
              <m:sSub>
                <m:sSubPr>
                  <m:ctrlPr>
                    <w:rPr>
                      <w:rFonts w:ascii="Cambria Math" w:hAnsi="Cambria Math"/>
                      <w:b w:val="0"/>
                      <w:i/>
                    </w:rPr>
                  </m:ctrlPr>
                </m:sSubPr>
                <m:e>
                  <m:r>
                    <m:rPr>
                      <m:sty m:val="bi"/>
                    </m:rPr>
                    <w:rPr>
                      <w:rFonts w:ascii="Cambria Math" w:hAnsi="Cambria Math"/>
                    </w:rPr>
                    <m:t>P</m:t>
                  </m:r>
                </m:e>
                <m:sub>
                  <m:r>
                    <m:rPr>
                      <m:sty m:val="bi"/>
                    </m:rPr>
                    <w:rPr>
                      <w:rFonts w:ascii="Cambria Math" w:hAnsi="Cambria Math"/>
                    </w:rPr>
                    <m:t>1</m:t>
                  </m:r>
                </m:sub>
              </m:sSub>
            </m:num>
            <m:den>
              <m:sSub>
                <m:sSubPr>
                  <m:ctrlPr>
                    <w:rPr>
                      <w:rFonts w:ascii="Cambria Math" w:hAnsi="Cambria Math"/>
                      <w:b w:val="0"/>
                      <w:i/>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P</m:t>
                  </m:r>
                </m:e>
                <m:sub>
                  <m:r>
                    <m:rPr>
                      <m:sty m:val="bi"/>
                    </m:rPr>
                    <w:rPr>
                      <w:rFonts w:ascii="Cambria Math" w:hAnsi="Cambria Math"/>
                    </w:rPr>
                    <m:t>3</m:t>
                  </m:r>
                </m:sub>
              </m:sSub>
            </m:den>
          </m:f>
        </m:oMath>
      </m:oMathPara>
    </w:p>
    <w:p w14:paraId="2D2C4437" w14:textId="77777777" w:rsidR="000F34A3" w:rsidRDefault="000F34A3" w:rsidP="003247E3">
      <w:pPr>
        <w:spacing w:line="360" w:lineRule="auto"/>
        <w:jc w:val="both"/>
        <w:rPr>
          <w:b w:val="0"/>
        </w:rPr>
      </w:pPr>
    </w:p>
    <w:p w14:paraId="0AC9D34C" w14:textId="71255A31" w:rsidR="003D5177" w:rsidRDefault="008839D7" w:rsidP="003247E3">
      <w:pPr>
        <w:spacing w:line="360" w:lineRule="auto"/>
        <w:ind w:firstLine="0"/>
        <w:jc w:val="both"/>
        <w:rPr>
          <w:b w:val="0"/>
        </w:rPr>
      </w:pPr>
      <w:r>
        <w:rPr>
          <w:b w:val="0"/>
        </w:rPr>
        <w:t xml:space="preserve">Where </w:t>
      </w:r>
      <w:r w:rsidRPr="000F34A3">
        <w:rPr>
          <w:b w:val="0"/>
          <w:i/>
          <w:iCs/>
        </w:rPr>
        <w:t>P</w:t>
      </w:r>
      <w:r w:rsidR="000F34A3" w:rsidRPr="000F34A3">
        <w:rPr>
          <w:b w:val="0"/>
          <w:i/>
          <w:iCs/>
          <w:vertAlign w:val="subscript"/>
        </w:rPr>
        <w:t>1</w:t>
      </w:r>
      <w:r>
        <w:rPr>
          <w:b w:val="0"/>
        </w:rPr>
        <w:t xml:space="preserve">, </w:t>
      </w:r>
      <w:r w:rsidRPr="000F34A3">
        <w:rPr>
          <w:b w:val="0"/>
          <w:i/>
          <w:iCs/>
        </w:rPr>
        <w:t>P</w:t>
      </w:r>
      <w:r w:rsidR="000F34A3" w:rsidRPr="000F34A3">
        <w:rPr>
          <w:b w:val="0"/>
          <w:i/>
          <w:iCs/>
          <w:vertAlign w:val="subscript"/>
        </w:rPr>
        <w:t>2</w:t>
      </w:r>
      <w:r w:rsidR="00455541">
        <w:rPr>
          <w:b w:val="0"/>
          <w:i/>
          <w:iCs/>
          <w:vertAlign w:val="subscript"/>
        </w:rPr>
        <w:t>,</w:t>
      </w:r>
      <w:r>
        <w:rPr>
          <w:b w:val="0"/>
        </w:rPr>
        <w:t xml:space="preserve"> and </w:t>
      </w:r>
      <w:r w:rsidRPr="000F34A3">
        <w:rPr>
          <w:b w:val="0"/>
          <w:i/>
          <w:iCs/>
        </w:rPr>
        <w:t>P</w:t>
      </w:r>
      <w:r w:rsidR="000F34A3" w:rsidRPr="000F34A3">
        <w:rPr>
          <w:b w:val="0"/>
          <w:i/>
          <w:iCs/>
          <w:vertAlign w:val="subscript"/>
        </w:rPr>
        <w:t>3</w:t>
      </w:r>
      <w:r>
        <w:rPr>
          <w:b w:val="0"/>
        </w:rPr>
        <w:t xml:space="preserve"> are principal axes in descending order. The above elongation index </w:t>
      </w:r>
      <w:r w:rsidR="00455541">
        <w:rPr>
          <w:b w:val="0"/>
        </w:rPr>
        <w:t>indicates</w:t>
      </w:r>
      <w:r>
        <w:rPr>
          <w:b w:val="0"/>
        </w:rPr>
        <w:t xml:space="preserve"> the spherical nature of a field, with </w:t>
      </w:r>
      <w:r w:rsidR="00455541">
        <w:rPr>
          <w:b w:val="0"/>
        </w:rPr>
        <w:t xml:space="preserve">an </w:t>
      </w:r>
      <w:r>
        <w:rPr>
          <w:b w:val="0"/>
        </w:rPr>
        <w:t xml:space="preserve">elongation index of 1 indicating </w:t>
      </w:r>
      <w:r w:rsidR="00455541">
        <w:rPr>
          <w:b w:val="0"/>
        </w:rPr>
        <w:t xml:space="preserve">a </w:t>
      </w:r>
      <w:r>
        <w:rPr>
          <w:b w:val="0"/>
        </w:rPr>
        <w:t xml:space="preserve">spherical field. </w:t>
      </w:r>
      <w:r w:rsidR="00455541">
        <w:rPr>
          <w:b w:val="0"/>
        </w:rPr>
        <w:t>Most</w:t>
      </w:r>
      <w:r>
        <w:rPr>
          <w:b w:val="0"/>
        </w:rPr>
        <w:t xml:space="preserve"> fields were elongated in both aligned (Mean: </w:t>
      </w:r>
      <w:r w:rsidR="000F34A3">
        <w:rPr>
          <w:b w:val="0"/>
        </w:rPr>
        <w:t>2.00,</w:t>
      </w:r>
      <w:r>
        <w:rPr>
          <w:b w:val="0"/>
        </w:rPr>
        <w:t xml:space="preserve"> Std. Error: </w:t>
      </w:r>
      <w:r w:rsidR="000F34A3">
        <w:rPr>
          <w:b w:val="0"/>
        </w:rPr>
        <w:t>0.54</w:t>
      </w:r>
      <w:r>
        <w:rPr>
          <w:b w:val="0"/>
        </w:rPr>
        <w:t>) and titled (Mean:</w:t>
      </w:r>
      <w:r w:rsidR="000F34A3">
        <w:rPr>
          <w:b w:val="0"/>
        </w:rPr>
        <w:t>1.94,</w:t>
      </w:r>
      <w:r>
        <w:rPr>
          <w:b w:val="0"/>
        </w:rPr>
        <w:t xml:space="preserve"> Std. Error: </w:t>
      </w:r>
      <w:r w:rsidR="000F34A3">
        <w:rPr>
          <w:b w:val="0"/>
        </w:rPr>
        <w:t>0.61</w:t>
      </w:r>
      <w:r>
        <w:rPr>
          <w:b w:val="0"/>
        </w:rPr>
        <w:t xml:space="preserve">) lattice. </w:t>
      </w:r>
    </w:p>
    <w:p w14:paraId="7BBBC6EC" w14:textId="3FBAFF22" w:rsidR="003D5177" w:rsidRDefault="008839D7" w:rsidP="003247E3">
      <w:pPr>
        <w:spacing w:line="360" w:lineRule="auto"/>
        <w:ind w:firstLine="0"/>
        <w:jc w:val="both"/>
        <w:rPr>
          <w:b w:val="0"/>
        </w:rPr>
      </w:pPr>
      <w:r>
        <w:rPr>
          <w:b w:val="0"/>
        </w:rPr>
        <w:t xml:space="preserve">To test the deviation of </w:t>
      </w:r>
      <w:r w:rsidR="00455541">
        <w:rPr>
          <w:b w:val="0"/>
        </w:rPr>
        <w:t xml:space="preserve">the </w:t>
      </w:r>
      <w:r>
        <w:rPr>
          <w:b w:val="0"/>
        </w:rPr>
        <w:t>elongation index from a distribution that would be expected by chance</w:t>
      </w:r>
      <w:r w:rsidR="00455541">
        <w:rPr>
          <w:b w:val="0"/>
        </w:rPr>
        <w:t>,</w:t>
      </w:r>
      <w:r>
        <w:rPr>
          <w:b w:val="0"/>
        </w:rPr>
        <w:t xml:space="preserve"> we did the analysis illustrated in the experimental result</w:t>
      </w:r>
      <w:r w:rsidR="002D65EA">
        <w:rPr>
          <w:b w:val="0"/>
        </w:rPr>
        <w:t xml:space="preserve"> </w:t>
      </w:r>
      <w:r w:rsidR="002D65EA">
        <w:rPr>
          <w:b w:val="0"/>
        </w:rPr>
        <w:fldChar w:fldCharType="begin" w:fldLock="1"/>
      </w:r>
      <w:r w:rsidR="00E27F32">
        <w:rPr>
          <w:b w:val="0"/>
        </w:rPr>
        <w:instrText>ADDIN CSL_CITATION {"citationItems":[{"id":"ITEM-1","itemData":{"DOI":"10.1038/s41467-020-14611-7","ISSN":"2041-1723","PMID":"32034157","abstract":"Place cells are spatially modulated neurons found in the hippocampus that underlie spatial memory and navigation: how these neurons represent 3D space is crucial for a full understanding of spatial cognition. We wirelessly recorded place cells in rats as they explored a cubic lattice climbing frame which could be aligned or tilted with respect to gravity. Place cells represented the entire volume of the mazes: their activity tended to be aligned with the maze axes, and when it was more difficult for the animals to move vertically the cells represented space less accurately and less stably. These results demonstrate that even surface-dwelling animals represent 3D space and suggests there is a fundamental relationship between environment structure, gravity, movement and spatial memory. How the brain represents 3D space is poorly understood but important for understanding spatial cognition. Here the authors record place cells in rats climbing through a 3D environment and report that they represent this space with 3D fields that are elongated along the axes of the environment and encode the vertical dimension less accurately.","author":[{"dropping-particle":"","family":"Grieves","given":"Roddy M.","non-dropping-particle":"","parse-names":false,"suffix":""},{"dropping-particle":"","family":"Jedidi-Ayoub","given":"Selim","non-dropping-particle":"","parse-names":false,"suffix":""},{"dropping-particle":"","family":"Mishchanchuk","given":"Karyna","non-dropping-particle":"","parse-names":false,"suffix":""},{"dropping-particle":"","family":"Liu","given":"Anyi","non-dropping-particle":"","parse-names":false,"suffix":""},{"dropping-particle":"","family":"Renaudineau","given":"Sophie","non-dropping-particle":"","parse-names":false,"suffix":""},{"dropping-particle":"","family":"Jeffery","given":"Kate J.","non-dropping-particle":"","parse-names":false,"suffix":""}],"container-title":"Nature Communications 2020 11:1","id":"ITEM-1","issue":"1","issued":{"date-parts":[["2020","2","7"]]},"page":"1-13","publisher":"Nature Publishing Group","title":"The place-cell representation of volumetric space in rats","type":"article-journal","volume":"11"},"uris":["http://www.mendeley.com/documents/?uuid=9ff1c82c-3ffd-3805-a3ad-6dbc172fcc1f"]}],"mendeley":{"formattedCitation":"(Grieves et al. 2020)","plainTextFormattedCitation":"(Grieves et al. 2020)","previouslyFormattedCitation":"(Grieves et al. 2020)"},"properties":{"noteIndex":0},"schema":"https://github.com/citation-style-language/schema/raw/master/csl-citation.json"}</w:instrText>
      </w:r>
      <w:r w:rsidR="002D65EA">
        <w:rPr>
          <w:b w:val="0"/>
        </w:rPr>
        <w:fldChar w:fldCharType="separate"/>
      </w:r>
      <w:r w:rsidR="002D65EA" w:rsidRPr="002D65EA">
        <w:rPr>
          <w:b w:val="0"/>
          <w:noProof/>
        </w:rPr>
        <w:t>(Grieves et al. 2020)</w:t>
      </w:r>
      <w:r w:rsidR="002D65EA">
        <w:rPr>
          <w:b w:val="0"/>
        </w:rPr>
        <w:fldChar w:fldCharType="end"/>
      </w:r>
      <w:r>
        <w:rPr>
          <w:b w:val="0"/>
        </w:rPr>
        <w:t>. We created a sphere with the center being the centroid of each place field. The diameter of the sphere is given as</w:t>
      </w:r>
    </w:p>
    <w:p w14:paraId="01CCC997" w14:textId="7E349F6B" w:rsidR="002D65EA" w:rsidRDefault="002D65EA" w:rsidP="003247E3">
      <w:pPr>
        <w:spacing w:line="360" w:lineRule="auto"/>
        <w:ind w:firstLine="0"/>
        <w:jc w:val="both"/>
        <w:rPr>
          <w:b w:val="0"/>
        </w:rPr>
      </w:pPr>
    </w:p>
    <w:p w14:paraId="2C71D93F" w14:textId="5F226B64" w:rsidR="003D5177" w:rsidRDefault="000F34A3" w:rsidP="003247E3">
      <w:pPr>
        <w:spacing w:line="360" w:lineRule="auto"/>
        <w:ind w:firstLine="0"/>
        <w:jc w:val="both"/>
        <w:rPr>
          <w:b w:val="0"/>
        </w:rPr>
      </w:pPr>
      <m:oMathPara>
        <m:oMath>
          <m:r>
            <m:rPr>
              <m:sty m:val="bi"/>
            </m:rPr>
            <w:rPr>
              <w:rFonts w:ascii="Cambria Math" w:hAnsi="Cambria Math"/>
            </w:rPr>
            <m:t>Equivalent diameter=6</m:t>
          </m:r>
          <m:sSup>
            <m:sSupPr>
              <m:ctrlPr>
                <w:rPr>
                  <w:rFonts w:ascii="Cambria Math" w:hAnsi="Cambria Math"/>
                  <w:b w:val="0"/>
                  <w:i/>
                </w:rPr>
              </m:ctrlPr>
            </m:sSupPr>
            <m:e>
              <m:d>
                <m:dPr>
                  <m:ctrlPr>
                    <w:rPr>
                      <w:rFonts w:ascii="Cambria Math" w:hAnsi="Cambria Math"/>
                      <w:b w:val="0"/>
                      <w:i/>
                    </w:rPr>
                  </m:ctrlPr>
                </m:dPr>
                <m:e>
                  <m:f>
                    <m:fPr>
                      <m:ctrlPr>
                        <w:rPr>
                          <w:rFonts w:ascii="Cambria Math" w:hAnsi="Cambria Math"/>
                          <w:b w:val="0"/>
                          <w:i/>
                        </w:rPr>
                      </m:ctrlPr>
                    </m:fPr>
                    <m:num>
                      <m:sSub>
                        <m:sSubPr>
                          <m:ctrlPr>
                            <w:rPr>
                              <w:rFonts w:ascii="Cambria Math" w:hAnsi="Cambria Math"/>
                              <w:b w:val="0"/>
                              <w:i/>
                            </w:rPr>
                          </m:ctrlPr>
                        </m:sSubPr>
                        <m:e>
                          <m:r>
                            <m:rPr>
                              <m:sty m:val="bi"/>
                            </m:rPr>
                            <w:rPr>
                              <w:rFonts w:ascii="Cambria Math" w:hAnsi="Cambria Math"/>
                            </w:rPr>
                            <m:t>v</m:t>
                          </m:r>
                        </m:e>
                        <m:sub>
                          <m:r>
                            <m:rPr>
                              <m:sty m:val="bi"/>
                            </m:rPr>
                            <w:rPr>
                              <w:rFonts w:ascii="Cambria Math" w:hAnsi="Cambria Math"/>
                            </w:rPr>
                            <m:t>f</m:t>
                          </m:r>
                        </m:sub>
                      </m:sSub>
                    </m:num>
                    <m:den>
                      <m:r>
                        <m:rPr>
                          <m:sty m:val="bi"/>
                        </m:rPr>
                        <w:rPr>
                          <w:rFonts w:ascii="Cambria Math" w:hAnsi="Cambria Math"/>
                        </w:rPr>
                        <m:t>п</m:t>
                      </m:r>
                    </m:den>
                  </m:f>
                </m:e>
              </m:d>
            </m:e>
            <m:sup>
              <m:f>
                <m:fPr>
                  <m:ctrlPr>
                    <w:rPr>
                      <w:rFonts w:ascii="Cambria Math" w:hAnsi="Cambria Math"/>
                      <w:b w:val="0"/>
                      <w:i/>
                    </w:rPr>
                  </m:ctrlPr>
                </m:fPr>
                <m:num>
                  <m:r>
                    <m:rPr>
                      <m:sty m:val="bi"/>
                    </m:rPr>
                    <w:rPr>
                      <w:rFonts w:ascii="Cambria Math" w:hAnsi="Cambria Math"/>
                    </w:rPr>
                    <m:t>1</m:t>
                  </m:r>
                </m:num>
                <m:den>
                  <m:r>
                    <m:rPr>
                      <m:sty m:val="bi"/>
                    </m:rPr>
                    <w:rPr>
                      <w:rFonts w:ascii="Cambria Math" w:hAnsi="Cambria Math"/>
                    </w:rPr>
                    <m:t>3</m:t>
                  </m:r>
                </m:den>
              </m:f>
            </m:sup>
          </m:sSup>
        </m:oMath>
      </m:oMathPara>
    </w:p>
    <w:p w14:paraId="26A81A08" w14:textId="77777777" w:rsidR="003D5177" w:rsidRDefault="003D5177" w:rsidP="003247E3">
      <w:pPr>
        <w:spacing w:line="360" w:lineRule="auto"/>
        <w:ind w:firstLine="0"/>
        <w:jc w:val="both"/>
        <w:rPr>
          <w:b w:val="0"/>
        </w:rPr>
      </w:pPr>
    </w:p>
    <w:p w14:paraId="19FB7E13" w14:textId="260D272B" w:rsidR="003D5177" w:rsidRDefault="000F34A3" w:rsidP="003247E3">
      <w:pPr>
        <w:spacing w:line="360" w:lineRule="auto"/>
        <w:ind w:firstLine="0"/>
        <w:jc w:val="both"/>
        <w:rPr>
          <w:b w:val="0"/>
        </w:rPr>
      </w:pPr>
      <w:r>
        <w:rPr>
          <w:b w:val="0"/>
        </w:rPr>
        <w:t>W</w:t>
      </w:r>
      <w:r w:rsidR="008839D7">
        <w:rPr>
          <w:b w:val="0"/>
        </w:rPr>
        <w:t>here</w:t>
      </w:r>
      <w:r>
        <w:rPr>
          <w:b w:val="0"/>
        </w:rPr>
        <w:t>,</w:t>
      </w:r>
      <w:r w:rsidR="008839D7">
        <w:rPr>
          <w:b w:val="0"/>
        </w:rPr>
        <w:t xml:space="preserve"> </w:t>
      </w:r>
      <w:r>
        <w:rPr>
          <w:b w:val="0"/>
        </w:rPr>
        <w:t>t</w:t>
      </w:r>
      <w:r w:rsidR="008839D7">
        <w:rPr>
          <w:b w:val="0"/>
        </w:rPr>
        <w:t xml:space="preserve">he trajectories that would lie inside the sphere were screened. A set of normally distributed random points equal to the number of spikes of the place field were generated inside the sphere. The mean of the distribution was the centroid and standard deviation of 1.4 times the equivalent radius. Further each of these points were assigned to a closest point on trajectories screened inside the sphere. This created a normal distribution of spikes inside the sphere. Place fields were identified from this random shuffling of spikes and field elongations were calculated. The shuffling was performed 100 times for each place field. From probability distribution for each place </w:t>
      </w:r>
      <w:r w:rsidR="0098451D">
        <w:rPr>
          <w:b w:val="0"/>
        </w:rPr>
        <w:t>field,</w:t>
      </w:r>
      <w:r w:rsidR="008839D7">
        <w:rPr>
          <w:b w:val="0"/>
        </w:rPr>
        <w:t xml:space="preserve"> we observed whether the elongation index for each field was </w:t>
      </w:r>
      <w:r w:rsidR="00E27F32">
        <w:rPr>
          <w:b w:val="0"/>
        </w:rPr>
        <w:t xml:space="preserve">greater or equal to expected </w:t>
      </w:r>
      <w:r w:rsidR="008839D7">
        <w:rPr>
          <w:b w:val="0"/>
        </w:rPr>
        <w:t xml:space="preserve">by chance. If the actual </w:t>
      </w:r>
      <w:r w:rsidR="008839D7">
        <w:rPr>
          <w:b w:val="0"/>
        </w:rPr>
        <w:lastRenderedPageBreak/>
        <w:t xml:space="preserve">elongation fell under the 95th percentile of the distribution, it was considered spherical otherwise non-spherical. </w:t>
      </w:r>
    </w:p>
    <w:p w14:paraId="19EAAA90" w14:textId="77777777" w:rsidR="000508D3" w:rsidRDefault="000508D3" w:rsidP="003247E3">
      <w:pPr>
        <w:spacing w:line="360" w:lineRule="auto"/>
        <w:ind w:firstLine="0"/>
        <w:rPr>
          <w:b w:val="0"/>
        </w:rPr>
      </w:pPr>
    </w:p>
    <w:p w14:paraId="20DA1B82" w14:textId="77777777" w:rsidR="003D5177" w:rsidRDefault="008839D7" w:rsidP="003247E3">
      <w:pPr>
        <w:numPr>
          <w:ilvl w:val="0"/>
          <w:numId w:val="1"/>
        </w:numPr>
        <w:spacing w:line="360" w:lineRule="auto"/>
      </w:pPr>
      <w:r>
        <w:t>Orientation:</w:t>
      </w:r>
    </w:p>
    <w:p w14:paraId="6A5E0F4F" w14:textId="2237310F" w:rsidR="003D5177" w:rsidRDefault="008839D7" w:rsidP="003247E3">
      <w:pPr>
        <w:spacing w:line="360" w:lineRule="auto"/>
        <w:ind w:firstLine="0"/>
        <w:jc w:val="both"/>
        <w:rPr>
          <w:b w:val="0"/>
        </w:rPr>
      </w:pPr>
      <w:r>
        <w:rPr>
          <w:b w:val="0"/>
        </w:rPr>
        <w:t xml:space="preserve">To quantify the orientation of place fields, </w:t>
      </w:r>
      <w:r w:rsidR="00E27F32">
        <w:rPr>
          <w:b w:val="0"/>
        </w:rPr>
        <w:t xml:space="preserve">we </w:t>
      </w:r>
      <w:r>
        <w:rPr>
          <w:b w:val="0"/>
        </w:rPr>
        <w:t>test whether they were oriented along axes of interest and to differentiate the axes with respect to orientation, we performed the analyses and tests presented in the experimental study</w:t>
      </w:r>
      <w:r w:rsidR="00E27F32">
        <w:rPr>
          <w:b w:val="0"/>
        </w:rPr>
        <w:t xml:space="preserve"> </w:t>
      </w:r>
      <w:r w:rsidR="00E27F32">
        <w:rPr>
          <w:b w:val="0"/>
        </w:rPr>
        <w:fldChar w:fldCharType="begin" w:fldLock="1"/>
      </w:r>
      <w:r w:rsidR="00331820">
        <w:rPr>
          <w:b w:val="0"/>
        </w:rPr>
        <w:instrText>ADDIN CSL_CITATION {"citationItems":[{"id":"ITEM-1","itemData":{"DOI":"10.1038/s41467-020-14611-7","ISSN":"2041-1723","PMID":"32034157","abstract":"Place cells are spatially modulated neurons found in the hippocampus that underlie spatial memory and navigation: how these neurons represent 3D space is crucial for a full understanding of spatial cognition. We wirelessly recorded place cells in rats as they explored a cubic lattice climbing frame which could be aligned or tilted with respect to gravity. Place cells represented the entire volume of the mazes: their activity tended to be aligned with the maze axes, and when it was more difficult for the animals to move vertically the cells represented space less accurately and less stably. These results demonstrate that even surface-dwelling animals represent 3D space and suggests there is a fundamental relationship between environment structure, gravity, movement and spatial memory. How the brain represents 3D space is poorly understood but important for understanding spatial cognition. Here the authors record place cells in rats climbing through a 3D environment and report that they represent this space with 3D fields that are elongated along the axes of the environment and encode the vertical dimension less accurately.","author":[{"dropping-particle":"","family":"Grieves","given":"Roddy M.","non-dropping-particle":"","parse-names":false,"suffix":""},{"dropping-particle":"","family":"Jedidi-Ayoub","given":"Selim","non-dropping-particle":"","parse-names":false,"suffix":""},{"dropping-particle":"","family":"Mishchanchuk","given":"Karyna","non-dropping-particle":"","parse-names":false,"suffix":""},{"dropping-particle":"","family":"Liu","given":"Anyi","non-dropping-particle":"","parse-names":false,"suffix":""},{"dropping-particle":"","family":"Renaudineau","given":"Sophie","non-dropping-particle":"","parse-names":false,"suffix":""},{"dropping-particle":"","family":"Jeffery","given":"Kate J.","non-dropping-particle":"","parse-names":false,"suffix":""}],"container-title":"Nature Communications 2020 11:1","id":"ITEM-1","issue":"1","issued":{"date-parts":[["2020","2","7"]]},"page":"1-13","publisher":"Nature Publishing Group","title":"The place-cell representation of volumetric space in rats","type":"article-journal","volume":"11"},"uris":["http://www.mendeley.com/documents/?uuid=9ff1c82c-3ffd-3805-a3ad-6dbc172fcc1f"]}],"mendeley":{"formattedCitation":"(Grieves et al. 2020)","plainTextFormattedCitation":"(Grieves et al. 2020)","previouslyFormattedCitation":"(Grieves et al. 2020)"},"properties":{"noteIndex":0},"schema":"https://github.com/citation-style-language/schema/raw/master/csl-citation.json"}</w:instrText>
      </w:r>
      <w:r w:rsidR="00E27F32">
        <w:rPr>
          <w:b w:val="0"/>
        </w:rPr>
        <w:fldChar w:fldCharType="separate"/>
      </w:r>
      <w:r w:rsidR="00E27F32" w:rsidRPr="00E27F32">
        <w:rPr>
          <w:b w:val="0"/>
          <w:noProof/>
        </w:rPr>
        <w:t>(Grieves et al. 2020)</w:t>
      </w:r>
      <w:r w:rsidR="00E27F32">
        <w:rPr>
          <w:b w:val="0"/>
        </w:rPr>
        <w:fldChar w:fldCharType="end"/>
      </w:r>
      <w:r>
        <w:rPr>
          <w:b w:val="0"/>
        </w:rPr>
        <w:t>. The primary principal axis of each place</w:t>
      </w:r>
      <w:r w:rsidR="00E27F32">
        <w:rPr>
          <w:b w:val="0"/>
        </w:rPr>
        <w:t xml:space="preserve"> </w:t>
      </w:r>
      <w:r>
        <w:rPr>
          <w:b w:val="0"/>
        </w:rPr>
        <w:t>field, also considered as the major axis for the ellipsoid (</w:t>
      </w:r>
      <w:r>
        <w:rPr>
          <w:b w:val="0"/>
          <w:i/>
        </w:rPr>
        <w:t xml:space="preserve">field elongation), </w:t>
      </w:r>
      <w:r>
        <w:rPr>
          <w:b w:val="0"/>
        </w:rPr>
        <w:t>was extracted using PCA</w:t>
      </w:r>
      <w:r w:rsidR="00E27F32">
        <w:rPr>
          <w:b w:val="0"/>
        </w:rPr>
        <w:t xml:space="preserve"> </w:t>
      </w:r>
      <w:r>
        <w:rPr>
          <w:b w:val="0"/>
        </w:rPr>
        <w:t>(</w:t>
      </w:r>
      <w:r>
        <w:rPr>
          <w:b w:val="0"/>
          <w:i/>
        </w:rPr>
        <w:t>regionprops3</w:t>
      </w:r>
      <w:r>
        <w:rPr>
          <w:b w:val="0"/>
        </w:rPr>
        <w:t>). These vectors were then projected onto a sphere with unit radius on diametrically opposite ends. To test for orientation along a specific axis, we screened the points that fell within those surface regions of the sphere that formed a ~60</w:t>
      </w:r>
      <w:r>
        <w:rPr>
          <w:b w:val="0"/>
          <w:vertAlign w:val="superscript"/>
        </w:rPr>
        <w:t>o</w:t>
      </w:r>
      <w:r>
        <w:rPr>
          <w:b w:val="0"/>
        </w:rPr>
        <w:t xml:space="preserve"> cone with apex at origin and axis of interest as cone’ axis. All the points from both directions for each axis were summed and presented as a ratio of total points on the sphere. </w:t>
      </w:r>
    </w:p>
    <w:p w14:paraId="357E35AC" w14:textId="77777777" w:rsidR="003D5177" w:rsidRDefault="003D5177" w:rsidP="003247E3">
      <w:pPr>
        <w:spacing w:line="360" w:lineRule="auto"/>
        <w:ind w:firstLine="0"/>
        <w:jc w:val="both"/>
        <w:rPr>
          <w:b w:val="0"/>
        </w:rPr>
      </w:pPr>
    </w:p>
    <w:p w14:paraId="45DDD782" w14:textId="2A011F4C" w:rsidR="003D5177" w:rsidRDefault="008839D7" w:rsidP="003247E3">
      <w:pPr>
        <w:spacing w:line="360" w:lineRule="auto"/>
        <w:ind w:firstLine="0"/>
        <w:jc w:val="both"/>
        <w:rPr>
          <w:b w:val="0"/>
        </w:rPr>
      </w:pPr>
      <w:r>
        <w:rPr>
          <w:b w:val="0"/>
        </w:rPr>
        <w:t>To determine whether the axes differed from each other, we calculated 95% confidence intervals for each axis. We sampled a set of orientations for randomly chosen place fields with replacement, such that the set is equal to the total number of fields. This was performed 1000 times for each maze, and ratios for each axis were recalculated. If the proportion of points parallel to a certain axis falls inside the error bars of other axes, they are not considered significantly different. The error bars in (</w:t>
      </w:r>
      <w:r w:rsidR="00E27F32">
        <w:rPr>
          <w:b w:val="0"/>
        </w:rPr>
        <w:t>F</w:t>
      </w:r>
      <w:r>
        <w:rPr>
          <w:b w:val="0"/>
        </w:rPr>
        <w:t>ig</w:t>
      </w:r>
      <w:r w:rsidR="00BA7630">
        <w:rPr>
          <w:b w:val="0"/>
        </w:rPr>
        <w:t>.</w:t>
      </w:r>
      <w:r w:rsidR="00E27F32">
        <w:rPr>
          <w:b w:val="0"/>
        </w:rPr>
        <w:t xml:space="preserve"> 6 </w:t>
      </w:r>
      <w:r w:rsidR="0088534A">
        <w:rPr>
          <w:b w:val="0"/>
        </w:rPr>
        <w:t>A</w:t>
      </w:r>
      <w:r w:rsidR="00E27F32">
        <w:rPr>
          <w:b w:val="0"/>
        </w:rPr>
        <w:t xml:space="preserve">3, </w:t>
      </w:r>
      <w:r w:rsidR="0088534A">
        <w:rPr>
          <w:b w:val="0"/>
        </w:rPr>
        <w:t>B</w:t>
      </w:r>
      <w:r w:rsidR="00E27F32">
        <w:rPr>
          <w:b w:val="0"/>
        </w:rPr>
        <w:t>3</w:t>
      </w:r>
      <w:r>
        <w:rPr>
          <w:b w:val="0"/>
        </w:rPr>
        <w:t>) show the 2.5</w:t>
      </w:r>
      <w:r w:rsidR="00E27F32" w:rsidRPr="00E27F32">
        <w:rPr>
          <w:b w:val="0"/>
          <w:vertAlign w:val="superscript"/>
        </w:rPr>
        <w:t>th</w:t>
      </w:r>
      <w:r w:rsidR="00E27F32">
        <w:rPr>
          <w:b w:val="0"/>
        </w:rPr>
        <w:t xml:space="preserve"> </w:t>
      </w:r>
      <w:r>
        <w:rPr>
          <w:b w:val="0"/>
        </w:rPr>
        <w:t>and 97.5</w:t>
      </w:r>
      <w:r w:rsidR="00E27F32" w:rsidRPr="00E27F32">
        <w:rPr>
          <w:b w:val="0"/>
          <w:vertAlign w:val="superscript"/>
        </w:rPr>
        <w:t>th</w:t>
      </w:r>
      <w:r w:rsidR="00E27F32">
        <w:rPr>
          <w:b w:val="0"/>
        </w:rPr>
        <w:t xml:space="preserve"> </w:t>
      </w:r>
      <w:r>
        <w:rPr>
          <w:b w:val="0"/>
        </w:rPr>
        <w:t>percentile for the shuffled counting.</w:t>
      </w:r>
    </w:p>
    <w:p w14:paraId="6AA16FC3" w14:textId="77777777" w:rsidR="003D5177" w:rsidRDefault="003D5177" w:rsidP="003247E3">
      <w:pPr>
        <w:spacing w:line="360" w:lineRule="auto"/>
        <w:ind w:firstLine="0"/>
        <w:jc w:val="both"/>
        <w:rPr>
          <w:b w:val="0"/>
        </w:rPr>
      </w:pPr>
    </w:p>
    <w:p w14:paraId="4E498E5D" w14:textId="77777777" w:rsidR="003D5177" w:rsidRDefault="008839D7" w:rsidP="003247E3">
      <w:pPr>
        <w:spacing w:line="360" w:lineRule="auto"/>
        <w:ind w:firstLine="0"/>
        <w:jc w:val="both"/>
        <w:rPr>
          <w:b w:val="0"/>
        </w:rPr>
      </w:pPr>
      <w:r>
        <w:rPr>
          <w:b w:val="0"/>
        </w:rPr>
        <w:t>To check whether this ratio for a certain axis was observed more than expected by chance we generated 1000 random points on the surface of the sphere. We calculated the aforementioned proportions for all the axes. We did this 1000 times and calculated the chance as 2.5</w:t>
      </w:r>
      <w:r>
        <w:rPr>
          <w:b w:val="0"/>
          <w:vertAlign w:val="superscript"/>
        </w:rPr>
        <w:t>th</w:t>
      </w:r>
      <w:r>
        <w:rPr>
          <w:b w:val="0"/>
        </w:rPr>
        <w:t xml:space="preserve"> and 97.5</w:t>
      </w:r>
      <w:r>
        <w:rPr>
          <w:b w:val="0"/>
          <w:vertAlign w:val="superscript"/>
        </w:rPr>
        <w:t>th</w:t>
      </w:r>
      <w:r>
        <w:rPr>
          <w:b w:val="0"/>
        </w:rPr>
        <w:t xml:space="preserve"> percentile of the distribution. The proportion for the axis that exceeded the upper threshold, was considered to have shown significant orientation parallel to a certain axis.   </w:t>
      </w:r>
    </w:p>
    <w:p w14:paraId="76E76FA8" w14:textId="77777777" w:rsidR="003D5177" w:rsidRDefault="003D5177" w:rsidP="003247E3">
      <w:pPr>
        <w:spacing w:line="360" w:lineRule="auto"/>
        <w:ind w:firstLine="0"/>
        <w:jc w:val="both"/>
        <w:rPr>
          <w:b w:val="0"/>
        </w:rPr>
      </w:pPr>
    </w:p>
    <w:p w14:paraId="27B3731F" w14:textId="77777777" w:rsidR="003D5177" w:rsidRDefault="008839D7" w:rsidP="003247E3">
      <w:pPr>
        <w:spacing w:line="360" w:lineRule="auto"/>
        <w:ind w:firstLine="0"/>
        <w:jc w:val="both"/>
        <w:rPr>
          <w:b w:val="0"/>
        </w:rPr>
      </w:pPr>
      <w:r>
        <w:rPr>
          <w:b w:val="0"/>
        </w:rPr>
        <w:t xml:space="preserve">Similar to the experiment study, to check if fields were parallel to XYZ axes in aligned case and to ABC axes in the tilted case, we defined the axis ratio. </w:t>
      </w:r>
    </w:p>
    <w:p w14:paraId="2A54461A" w14:textId="77777777" w:rsidR="003D5177" w:rsidRDefault="003D5177" w:rsidP="003247E3">
      <w:pPr>
        <w:spacing w:line="360" w:lineRule="auto"/>
        <w:ind w:firstLine="0"/>
        <w:jc w:val="both"/>
        <w:rPr>
          <w:b w:val="0"/>
        </w:rPr>
      </w:pPr>
    </w:p>
    <w:p w14:paraId="7E12251D" w14:textId="77777777" w:rsidR="003D5177" w:rsidRDefault="008839D7" w:rsidP="003247E3">
      <w:pPr>
        <w:spacing w:line="360" w:lineRule="auto"/>
        <w:ind w:firstLine="0"/>
        <w:jc w:val="center"/>
        <w:rPr>
          <w:b w:val="0"/>
        </w:rPr>
      </w:pPr>
      <w:r>
        <w:rPr>
          <w:b w:val="0"/>
        </w:rPr>
        <w:t>Axis Ratio = XYZ / ABC</w:t>
      </w:r>
    </w:p>
    <w:p w14:paraId="1926C94A" w14:textId="77777777" w:rsidR="003D5177" w:rsidRDefault="003D5177" w:rsidP="003247E3">
      <w:pPr>
        <w:spacing w:line="360" w:lineRule="auto"/>
        <w:ind w:firstLine="0"/>
        <w:jc w:val="both"/>
        <w:rPr>
          <w:b w:val="0"/>
        </w:rPr>
      </w:pPr>
    </w:p>
    <w:p w14:paraId="0004EA30" w14:textId="77777777" w:rsidR="003D5177" w:rsidRDefault="008839D7" w:rsidP="003247E3">
      <w:pPr>
        <w:spacing w:line="360" w:lineRule="auto"/>
        <w:ind w:firstLine="0"/>
        <w:jc w:val="both"/>
        <w:rPr>
          <w:b w:val="0"/>
        </w:rPr>
      </w:pPr>
      <w:r>
        <w:rPr>
          <w:b w:val="0"/>
        </w:rPr>
        <w:t>This ratio was calculated by generating 1000 random points on the surface of a sphere 1000 times. The proportions for each axis were calculated for each shuffle and the distribution for the above ratio was plotted. If the actual ratio deviated from the 1</w:t>
      </w:r>
      <w:r w:rsidRPr="00521288">
        <w:rPr>
          <w:b w:val="0"/>
          <w:vertAlign w:val="superscript"/>
        </w:rPr>
        <w:t>st</w:t>
      </w:r>
      <w:r>
        <w:rPr>
          <w:b w:val="0"/>
        </w:rPr>
        <w:t xml:space="preserve"> or 99</w:t>
      </w:r>
      <w:r w:rsidRPr="00521288">
        <w:rPr>
          <w:b w:val="0"/>
          <w:vertAlign w:val="superscript"/>
        </w:rPr>
        <w:t>th</w:t>
      </w:r>
      <w:r>
        <w:rPr>
          <w:b w:val="0"/>
        </w:rPr>
        <w:t xml:space="preserve"> percentile, it was considered a significant deviation from the no axis bias condition.  </w:t>
      </w:r>
    </w:p>
    <w:p w14:paraId="5798DFCB" w14:textId="77777777" w:rsidR="003D5177" w:rsidRDefault="003D5177" w:rsidP="003247E3">
      <w:pPr>
        <w:spacing w:line="360" w:lineRule="auto"/>
        <w:ind w:firstLine="0"/>
        <w:rPr>
          <w:b w:val="0"/>
        </w:rPr>
      </w:pPr>
    </w:p>
    <w:p w14:paraId="1ECE5CF8" w14:textId="77777777" w:rsidR="003D5177" w:rsidRDefault="008839D7" w:rsidP="003247E3">
      <w:pPr>
        <w:numPr>
          <w:ilvl w:val="0"/>
          <w:numId w:val="1"/>
        </w:numPr>
        <w:spacing w:line="360" w:lineRule="auto"/>
      </w:pPr>
      <w:r>
        <w:t>Binary Morphology:</w:t>
      </w:r>
    </w:p>
    <w:p w14:paraId="6DD15ED9" w14:textId="77777777" w:rsidR="003D5177" w:rsidRDefault="008839D7" w:rsidP="003247E3">
      <w:pPr>
        <w:spacing w:line="360" w:lineRule="auto"/>
        <w:ind w:firstLine="720"/>
        <w:jc w:val="both"/>
        <w:rPr>
          <w:b w:val="0"/>
        </w:rPr>
      </w:pPr>
      <w:r>
        <w:rPr>
          <w:b w:val="0"/>
        </w:rPr>
        <w:t xml:space="preserve">The firing rate maps of the place cells are created by first thresholding them at 10% of their maximum value, and a morphological erosion process was performed on the 3D binary volumetric image using structuring element vectors of varying lengths along each cartesian axis. For each erosion operation, the linear sum of the remaining voxels as a measure of the map’s connectivity along that dimension is first calculated and is then expressed as the proportion of all remaining voxels for that element length. </w:t>
      </w:r>
    </w:p>
    <w:p w14:paraId="143092FC" w14:textId="4A94F7D7" w:rsidR="003D5177" w:rsidRDefault="008839D7" w:rsidP="003247E3">
      <w:pPr>
        <w:spacing w:line="360" w:lineRule="auto"/>
        <w:ind w:firstLine="720"/>
        <w:jc w:val="both"/>
        <w:rPr>
          <w:b w:val="0"/>
        </w:rPr>
      </w:pPr>
      <w:r>
        <w:rPr>
          <w:b w:val="0"/>
        </w:rPr>
        <w:t xml:space="preserve">Using this approach, we observed for the aligned lattice that the connectivity of voxel was identical (nearly 33% for all axes) to a specified length of structuring element vector. It started diverging for longer elements, with a larger proportion of fields showing connectivity in the Z-axis </w:t>
      </w:r>
      <w:r w:rsidR="0042224F">
        <w:rPr>
          <w:b w:val="0"/>
        </w:rPr>
        <w:t>compared to</w:t>
      </w:r>
      <w:r>
        <w:rPr>
          <w:b w:val="0"/>
        </w:rPr>
        <w:t xml:space="preserve"> others. A repeated measures (within-subjects) ANOVA was run with axes as an independent variable and the proportion of voxels (connectivity) as a dependent variable. The results suggest a significant difference of voxel proportion between all three axes (effect of axes: </w:t>
      </w:r>
      <w:proofErr w:type="gramStart"/>
      <w:r>
        <w:rPr>
          <w:b w:val="0"/>
        </w:rPr>
        <w:t>F(</w:t>
      </w:r>
      <w:proofErr w:type="gramEnd"/>
      <w:r>
        <w:rPr>
          <w:b w:val="0"/>
        </w:rPr>
        <w:t xml:space="preserve">2, </w:t>
      </w:r>
      <w:r w:rsidR="001E00A8">
        <w:rPr>
          <w:b w:val="0"/>
        </w:rPr>
        <w:t>317) = 4.27</w:t>
      </w:r>
      <w:r>
        <w:rPr>
          <w:b w:val="0"/>
        </w:rPr>
        <w:t xml:space="preserve">, p </w:t>
      </w:r>
      <w:r w:rsidR="0042224F">
        <w:rPr>
          <w:b w:val="0"/>
        </w:rPr>
        <w:t xml:space="preserve"> </w:t>
      </w:r>
      <w:r>
        <w:rPr>
          <w:b w:val="0"/>
        </w:rPr>
        <w:t>&lt; 0.</w:t>
      </w:r>
      <w:r w:rsidR="001E00A8">
        <w:rPr>
          <w:b w:val="0"/>
        </w:rPr>
        <w:t>0</w:t>
      </w:r>
      <w:r>
        <w:rPr>
          <w:b w:val="0"/>
        </w:rPr>
        <w:t xml:space="preserve">1, </w:t>
      </w:r>
      <m:oMath>
        <m:sSubSup>
          <m:sSubSupPr>
            <m:ctrlPr>
              <w:rPr>
                <w:rFonts w:ascii="Cambria Math" w:hAnsi="Cambria Math"/>
                <w:b w:val="0"/>
                <w:i/>
              </w:rPr>
            </m:ctrlPr>
          </m:sSubSupPr>
          <m:e>
            <m:r>
              <m:rPr>
                <m:sty m:val="bi"/>
              </m:rPr>
              <w:rPr>
                <w:rFonts w:ascii="Cambria Math" w:hAnsi="Cambria Math"/>
              </w:rPr>
              <m:t>η</m:t>
            </m:r>
          </m:e>
          <m:sub>
            <m:r>
              <m:rPr>
                <m:sty m:val="bi"/>
              </m:rPr>
              <w:rPr>
                <w:rFonts w:ascii="Cambria Math" w:hAnsi="Cambria Math"/>
              </w:rPr>
              <m:t>p</m:t>
            </m:r>
          </m:sub>
          <m:sup>
            <m:r>
              <m:rPr>
                <m:sty m:val="bi"/>
              </m:rPr>
              <w:rPr>
                <w:rFonts w:ascii="Cambria Math" w:hAnsi="Cambria Math"/>
              </w:rPr>
              <m:t>2</m:t>
            </m:r>
          </m:sup>
        </m:sSubSup>
        <m:r>
          <m:rPr>
            <m:sty m:val="bi"/>
          </m:rPr>
          <w:rPr>
            <w:rFonts w:ascii="Cambria Math" w:hAnsi="Cambria Math"/>
          </w:rPr>
          <m:t xml:space="preserve"> </m:t>
        </m:r>
      </m:oMath>
      <w:r>
        <w:rPr>
          <w:b w:val="0"/>
        </w:rPr>
        <w:t>= 0.</w:t>
      </w:r>
      <w:r w:rsidR="001E00A8">
        <w:rPr>
          <w:b w:val="0"/>
        </w:rPr>
        <w:t>026</w:t>
      </w:r>
      <w:r>
        <w:rPr>
          <w:b w:val="0"/>
        </w:rPr>
        <w:t xml:space="preserve">, </w:t>
      </w:r>
      <w:r w:rsidR="00890F3D">
        <w:rPr>
          <w:b w:val="0"/>
        </w:rPr>
        <w:t>insignificant</w:t>
      </w:r>
      <w:r>
        <w:rPr>
          <w:b w:val="0"/>
        </w:rPr>
        <w:t xml:space="preserve"> effect of axis and length of structuring element: F(</w:t>
      </w:r>
      <w:r w:rsidR="00890F3D">
        <w:rPr>
          <w:b w:val="0"/>
        </w:rPr>
        <w:t>36, 317</w:t>
      </w:r>
      <w:r>
        <w:rPr>
          <w:b w:val="0"/>
        </w:rPr>
        <w:t xml:space="preserve">) = </w:t>
      </w:r>
      <w:r w:rsidR="00890F3D">
        <w:rPr>
          <w:b w:val="0"/>
        </w:rPr>
        <w:t>0.878</w:t>
      </w:r>
      <w:r>
        <w:rPr>
          <w:b w:val="0"/>
        </w:rPr>
        <w:t xml:space="preserve">, p </w:t>
      </w:r>
      <w:r w:rsidR="00890F3D">
        <w:rPr>
          <w:b w:val="0"/>
        </w:rPr>
        <w:t>=</w:t>
      </w:r>
      <w:r>
        <w:rPr>
          <w:b w:val="0"/>
        </w:rPr>
        <w:t xml:space="preserve"> 0.</w:t>
      </w:r>
      <w:r w:rsidR="00890F3D">
        <w:rPr>
          <w:b w:val="0"/>
        </w:rPr>
        <w:t>67</w:t>
      </w:r>
      <w:r>
        <w:rPr>
          <w:b w:val="0"/>
        </w:rPr>
        <w:t xml:space="preserve">, </w:t>
      </w:r>
      <m:oMath>
        <m:sSubSup>
          <m:sSubSupPr>
            <m:ctrlPr>
              <w:rPr>
                <w:rFonts w:ascii="Cambria Math" w:hAnsi="Cambria Math"/>
                <w:b w:val="0"/>
                <w:i/>
              </w:rPr>
            </m:ctrlPr>
          </m:sSubSupPr>
          <m:e>
            <m:r>
              <m:rPr>
                <m:sty m:val="bi"/>
              </m:rPr>
              <w:rPr>
                <w:rFonts w:ascii="Cambria Math" w:hAnsi="Cambria Math"/>
              </w:rPr>
              <m:t>η</m:t>
            </m:r>
          </m:e>
          <m:sub>
            <m:r>
              <m:rPr>
                <m:sty m:val="bi"/>
              </m:rPr>
              <w:rPr>
                <w:rFonts w:ascii="Cambria Math" w:hAnsi="Cambria Math"/>
              </w:rPr>
              <m:t>p</m:t>
            </m:r>
          </m:sub>
          <m:sup>
            <m:r>
              <m:rPr>
                <m:sty m:val="bi"/>
              </m:rPr>
              <w:rPr>
                <w:rFonts w:ascii="Cambria Math" w:hAnsi="Cambria Math"/>
              </w:rPr>
              <m:t>2</m:t>
            </m:r>
          </m:sup>
        </m:sSubSup>
        <m:r>
          <m:rPr>
            <m:sty m:val="bi"/>
          </m:rPr>
          <w:rPr>
            <w:rFonts w:ascii="Cambria Math" w:hAnsi="Cambria Math"/>
          </w:rPr>
          <m:t xml:space="preserve"> </m:t>
        </m:r>
      </m:oMath>
      <w:r>
        <w:rPr>
          <w:b w:val="0"/>
        </w:rPr>
        <w:t>= 0.</w:t>
      </w:r>
      <w:r w:rsidR="00890F3D">
        <w:rPr>
          <w:b w:val="0"/>
        </w:rPr>
        <w:t>089</w:t>
      </w:r>
      <w:r>
        <w:rPr>
          <w:b w:val="0"/>
        </w:rPr>
        <w:t>). Post hoc tests (Bonferroni correction for pairwise Comparison) for the same revealed difference between voxel proportions for the X-axis (Mean: 0.</w:t>
      </w:r>
      <w:r w:rsidR="00890F3D">
        <w:rPr>
          <w:b w:val="0"/>
        </w:rPr>
        <w:t>318</w:t>
      </w:r>
      <w:r>
        <w:rPr>
          <w:b w:val="0"/>
        </w:rPr>
        <w:t>, Std. Error: 0.</w:t>
      </w:r>
      <w:r w:rsidR="00890F3D">
        <w:rPr>
          <w:b w:val="0"/>
        </w:rPr>
        <w:t>028</w:t>
      </w:r>
      <w:r>
        <w:rPr>
          <w:b w:val="0"/>
        </w:rPr>
        <w:t>) and Y-axis (Mean: 0.</w:t>
      </w:r>
      <w:r w:rsidR="00890F3D">
        <w:rPr>
          <w:b w:val="0"/>
        </w:rPr>
        <w:t>273</w:t>
      </w:r>
      <w:r>
        <w:rPr>
          <w:b w:val="0"/>
        </w:rPr>
        <w:t>, Std. Error: 0.</w:t>
      </w:r>
      <w:r w:rsidR="00890F3D">
        <w:rPr>
          <w:b w:val="0"/>
        </w:rPr>
        <w:t>026</w:t>
      </w:r>
      <w:r>
        <w:rPr>
          <w:b w:val="0"/>
        </w:rPr>
        <w:t>) as insignificant (did not differ), but significant difference of connectivity with the Z-axis (Mean: 0.</w:t>
      </w:r>
      <w:r w:rsidR="00890F3D">
        <w:rPr>
          <w:b w:val="0"/>
        </w:rPr>
        <w:t>409</w:t>
      </w:r>
      <w:r>
        <w:rPr>
          <w:b w:val="0"/>
        </w:rPr>
        <w:t>, Std. Error: 0.</w:t>
      </w:r>
      <w:r w:rsidR="00890F3D">
        <w:rPr>
          <w:b w:val="0"/>
        </w:rPr>
        <w:t>029</w:t>
      </w:r>
      <w:r>
        <w:rPr>
          <w:b w:val="0"/>
        </w:rPr>
        <w:t>). Pairwise comparisons show (X vs Y: p &gt; 0.</w:t>
      </w:r>
      <w:r w:rsidR="00890F3D">
        <w:rPr>
          <w:b w:val="0"/>
        </w:rPr>
        <w:t>95</w:t>
      </w:r>
      <w:r>
        <w:rPr>
          <w:b w:val="0"/>
        </w:rPr>
        <w:t>, X vs Z</w:t>
      </w:r>
      <w:r w:rsidR="00890F3D">
        <w:rPr>
          <w:b w:val="0"/>
        </w:rPr>
        <w:t>: p = 0.22</w:t>
      </w:r>
      <w:r>
        <w:rPr>
          <w:b w:val="0"/>
        </w:rPr>
        <w:t xml:space="preserve"> and Y vs Z: p &lt; 0.</w:t>
      </w:r>
      <w:r w:rsidR="00890F3D">
        <w:rPr>
          <w:b w:val="0"/>
        </w:rPr>
        <w:t>01</w:t>
      </w:r>
      <w:r>
        <w:rPr>
          <w:b w:val="0"/>
        </w:rPr>
        <w:t>).</w:t>
      </w:r>
    </w:p>
    <w:p w14:paraId="2683939B" w14:textId="77777777" w:rsidR="003D5177" w:rsidRDefault="003D5177" w:rsidP="003247E3">
      <w:pPr>
        <w:spacing w:line="360" w:lineRule="auto"/>
        <w:ind w:firstLine="720"/>
        <w:jc w:val="both"/>
        <w:rPr>
          <w:b w:val="0"/>
        </w:rPr>
      </w:pPr>
    </w:p>
    <w:p w14:paraId="20C274C8" w14:textId="2D4FB4A9" w:rsidR="003D5177" w:rsidRDefault="008839D7" w:rsidP="003247E3">
      <w:pPr>
        <w:spacing w:line="360" w:lineRule="auto"/>
        <w:ind w:firstLine="720"/>
        <w:jc w:val="both"/>
        <w:rPr>
          <w:b w:val="0"/>
        </w:rPr>
      </w:pPr>
      <w:r>
        <w:rPr>
          <w:b w:val="0"/>
        </w:rPr>
        <w:t>Similarly, for the tilted lattice case, the proportion of voxel connectivity stayed equal</w:t>
      </w:r>
      <w:r w:rsidR="0042224F">
        <w:rPr>
          <w:b w:val="0"/>
        </w:rPr>
        <w:t xml:space="preserve"> </w:t>
      </w:r>
      <w:r>
        <w:rPr>
          <w:b w:val="0"/>
        </w:rPr>
        <w:t xml:space="preserve">(nearly 33%) for all the axes. A slight divergence is observed for longer structural elements but is less significant as compared to aligned lattice cases. The similar repeated </w:t>
      </w:r>
      <w:r>
        <w:rPr>
          <w:b w:val="0"/>
        </w:rPr>
        <w:lastRenderedPageBreak/>
        <w:t xml:space="preserve">measures ANOVA test was run with axes as an independent variable and proportion of voxels (connectivity) as a dependent variable. The result suggested a significant difference for voxel proportion between all three axes (effect of axes:  </w:t>
      </w:r>
      <w:proofErr w:type="gramStart"/>
      <w:r>
        <w:rPr>
          <w:b w:val="0"/>
        </w:rPr>
        <w:t>F(</w:t>
      </w:r>
      <w:proofErr w:type="gramEnd"/>
      <w:r>
        <w:rPr>
          <w:b w:val="0"/>
        </w:rPr>
        <w:t xml:space="preserve">2, </w:t>
      </w:r>
      <w:r w:rsidR="00CE7C76">
        <w:rPr>
          <w:b w:val="0"/>
        </w:rPr>
        <w:t>401) = 51.56</w:t>
      </w:r>
      <w:r>
        <w:rPr>
          <w:b w:val="0"/>
        </w:rPr>
        <w:t>, p &lt; 0.</w:t>
      </w:r>
      <w:r w:rsidR="00CE7C76">
        <w:rPr>
          <w:b w:val="0"/>
        </w:rPr>
        <w:t>0001</w:t>
      </w:r>
      <w:r>
        <w:rPr>
          <w:b w:val="0"/>
        </w:rPr>
        <w:t xml:space="preserve">, </w:t>
      </w:r>
      <m:oMath>
        <m:sSubSup>
          <m:sSubSupPr>
            <m:ctrlPr>
              <w:rPr>
                <w:rFonts w:ascii="Cambria Math" w:hAnsi="Cambria Math"/>
                <w:b w:val="0"/>
                <w:i/>
              </w:rPr>
            </m:ctrlPr>
          </m:sSubSupPr>
          <m:e>
            <m:r>
              <m:rPr>
                <m:sty m:val="bi"/>
              </m:rPr>
              <w:rPr>
                <w:rFonts w:ascii="Cambria Math" w:hAnsi="Cambria Math"/>
              </w:rPr>
              <m:t>η</m:t>
            </m:r>
          </m:e>
          <m:sub>
            <m:r>
              <m:rPr>
                <m:sty m:val="bi"/>
              </m:rPr>
              <w:rPr>
                <w:rFonts w:ascii="Cambria Math" w:hAnsi="Cambria Math"/>
              </w:rPr>
              <m:t>p</m:t>
            </m:r>
          </m:sub>
          <m:sup>
            <m:r>
              <m:rPr>
                <m:sty m:val="bi"/>
              </m:rPr>
              <w:rPr>
                <w:rFonts w:ascii="Cambria Math" w:hAnsi="Cambria Math"/>
              </w:rPr>
              <m:t>2</m:t>
            </m:r>
          </m:sup>
        </m:sSubSup>
      </m:oMath>
      <w:r>
        <w:rPr>
          <w:b w:val="0"/>
        </w:rPr>
        <w:t xml:space="preserve"> = 0.</w:t>
      </w:r>
      <w:r w:rsidR="00CE7C76">
        <w:rPr>
          <w:b w:val="0"/>
        </w:rPr>
        <w:t>199</w:t>
      </w:r>
      <w:r>
        <w:rPr>
          <w:b w:val="0"/>
        </w:rPr>
        <w:t>) but with comparatively smaller effect size. For interaction between axis and structure length, the result showed no significant difference (</w:t>
      </w:r>
      <w:proofErr w:type="gramStart"/>
      <w:r>
        <w:rPr>
          <w:b w:val="0"/>
        </w:rPr>
        <w:t>F(</w:t>
      </w:r>
      <w:proofErr w:type="gramEnd"/>
      <w:r w:rsidR="00CE7C76">
        <w:rPr>
          <w:b w:val="0"/>
        </w:rPr>
        <w:t>35</w:t>
      </w:r>
      <w:r>
        <w:rPr>
          <w:b w:val="0"/>
        </w:rPr>
        <w:t xml:space="preserve">, </w:t>
      </w:r>
      <w:r w:rsidR="00CE7C76">
        <w:rPr>
          <w:b w:val="0"/>
        </w:rPr>
        <w:t>401</w:t>
      </w:r>
      <w:r>
        <w:rPr>
          <w:b w:val="0"/>
        </w:rPr>
        <w:t>) = 0.</w:t>
      </w:r>
      <w:r w:rsidR="00CE7C76">
        <w:rPr>
          <w:b w:val="0"/>
        </w:rPr>
        <w:t>822</w:t>
      </w:r>
      <w:r>
        <w:rPr>
          <w:b w:val="0"/>
        </w:rPr>
        <w:t xml:space="preserve">, p </w:t>
      </w:r>
      <w:r w:rsidR="00CE7C76">
        <w:rPr>
          <w:b w:val="0"/>
        </w:rPr>
        <w:t>=</w:t>
      </w:r>
      <w:r>
        <w:rPr>
          <w:b w:val="0"/>
        </w:rPr>
        <w:t xml:space="preserve"> 0.</w:t>
      </w:r>
      <w:r w:rsidR="00CE7C76">
        <w:rPr>
          <w:b w:val="0"/>
        </w:rPr>
        <w:t>76</w:t>
      </w:r>
      <w:r>
        <w:rPr>
          <w:b w:val="0"/>
        </w:rPr>
        <w:t xml:space="preserve">, </w:t>
      </w:r>
      <m:oMath>
        <m:sSubSup>
          <m:sSubSupPr>
            <m:ctrlPr>
              <w:rPr>
                <w:rFonts w:ascii="Cambria Math" w:hAnsi="Cambria Math"/>
                <w:b w:val="0"/>
                <w:i/>
              </w:rPr>
            </m:ctrlPr>
          </m:sSubSupPr>
          <m:e>
            <m:r>
              <m:rPr>
                <m:sty m:val="bi"/>
              </m:rPr>
              <w:rPr>
                <w:rFonts w:ascii="Cambria Math" w:hAnsi="Cambria Math"/>
              </w:rPr>
              <m:t>η</m:t>
            </m:r>
          </m:e>
          <m:sub>
            <m:r>
              <m:rPr>
                <m:sty m:val="bi"/>
              </m:rPr>
              <w:rPr>
                <w:rFonts w:ascii="Cambria Math" w:hAnsi="Cambria Math"/>
              </w:rPr>
              <m:t>p</m:t>
            </m:r>
          </m:sub>
          <m:sup>
            <m:r>
              <m:rPr>
                <m:sty m:val="bi"/>
              </m:rPr>
              <w:rPr>
                <w:rFonts w:ascii="Cambria Math" w:hAnsi="Cambria Math"/>
              </w:rPr>
              <m:t>2</m:t>
            </m:r>
          </m:sup>
        </m:sSubSup>
      </m:oMath>
      <w:r>
        <w:rPr>
          <w:b w:val="0"/>
        </w:rPr>
        <w:t xml:space="preserve"> = 0.</w:t>
      </w:r>
      <w:r w:rsidR="00CE7C76">
        <w:rPr>
          <w:b w:val="0"/>
        </w:rPr>
        <w:t>066</w:t>
      </w:r>
      <w:r>
        <w:rPr>
          <w:b w:val="0"/>
        </w:rPr>
        <w:t>). Post hoc tests (Bonferroni correction for pairwise Comparison) revealed differences between voxel proportions for the A-axis (Mean: 0.</w:t>
      </w:r>
      <w:r w:rsidR="00A606CF">
        <w:rPr>
          <w:b w:val="0"/>
        </w:rPr>
        <w:t>306</w:t>
      </w:r>
      <w:r>
        <w:rPr>
          <w:b w:val="0"/>
        </w:rPr>
        <w:t>, Std. Error: 0.</w:t>
      </w:r>
      <w:r w:rsidR="00A606CF">
        <w:rPr>
          <w:b w:val="0"/>
        </w:rPr>
        <w:t xml:space="preserve">018), </w:t>
      </w:r>
      <w:r>
        <w:rPr>
          <w:b w:val="0"/>
        </w:rPr>
        <w:t>B-axis (Mean: 0.</w:t>
      </w:r>
      <w:r w:rsidR="00A606CF">
        <w:rPr>
          <w:b w:val="0"/>
        </w:rPr>
        <w:t>509</w:t>
      </w:r>
      <w:r>
        <w:rPr>
          <w:b w:val="0"/>
        </w:rPr>
        <w:t xml:space="preserve">, Std. </w:t>
      </w:r>
      <w:r w:rsidR="00A606CF">
        <w:rPr>
          <w:b w:val="0"/>
        </w:rPr>
        <w:t>Error: 0.020</w:t>
      </w:r>
      <w:r>
        <w:rPr>
          <w:b w:val="0"/>
        </w:rPr>
        <w:t xml:space="preserve">) </w:t>
      </w:r>
      <w:r w:rsidR="00A606CF">
        <w:rPr>
          <w:b w:val="0"/>
        </w:rPr>
        <w:t xml:space="preserve">and C-axis (Mean: 0.184, Std. error: 0.017) as </w:t>
      </w:r>
      <w:r>
        <w:rPr>
          <w:b w:val="0"/>
        </w:rPr>
        <w:t>significant difference of conne</w:t>
      </w:r>
      <w:r w:rsidR="00A606CF">
        <w:rPr>
          <w:b w:val="0"/>
        </w:rPr>
        <w:t>ctivity</w:t>
      </w:r>
      <w:r>
        <w:rPr>
          <w:b w:val="0"/>
        </w:rPr>
        <w:t>. Pairwise comparisons show</w:t>
      </w:r>
      <w:r w:rsidR="000D0F75">
        <w:rPr>
          <w:b w:val="0"/>
        </w:rPr>
        <w:t xml:space="preserve"> </w:t>
      </w:r>
      <w:r>
        <w:rPr>
          <w:b w:val="0"/>
        </w:rPr>
        <w:t>(A vs B, B vs C and A vs C: p &lt; 0.</w:t>
      </w:r>
      <w:r w:rsidR="00A606CF">
        <w:rPr>
          <w:b w:val="0"/>
        </w:rPr>
        <w:t>0001</w:t>
      </w:r>
      <w:r>
        <w:rPr>
          <w:b w:val="0"/>
        </w:rPr>
        <w:t>).</w:t>
      </w:r>
    </w:p>
    <w:p w14:paraId="5F06DD78" w14:textId="77777777" w:rsidR="003D5177" w:rsidRDefault="003D5177" w:rsidP="003247E3">
      <w:pPr>
        <w:spacing w:line="360" w:lineRule="auto"/>
        <w:ind w:firstLine="720"/>
        <w:rPr>
          <w:b w:val="0"/>
        </w:rPr>
      </w:pPr>
    </w:p>
    <w:p w14:paraId="256B2301" w14:textId="081A71FE" w:rsidR="003D5177" w:rsidRDefault="000D0F75" w:rsidP="003247E3">
      <w:pPr>
        <w:numPr>
          <w:ilvl w:val="0"/>
          <w:numId w:val="1"/>
        </w:numPr>
        <w:spacing w:line="360" w:lineRule="auto"/>
      </w:pPr>
      <w:r>
        <w:t xml:space="preserve">Grid and </w:t>
      </w:r>
      <w:r w:rsidR="008839D7">
        <w:t>Place cells for helical trajectory:</w:t>
      </w:r>
    </w:p>
    <w:p w14:paraId="5483763A" w14:textId="0874CFBC" w:rsidR="001C0CF3" w:rsidRDefault="00986F12" w:rsidP="009028D0">
      <w:pPr>
        <w:spacing w:line="360" w:lineRule="auto"/>
        <w:ind w:firstLine="0"/>
      </w:pPr>
      <w:r>
        <w:rPr>
          <w:noProof/>
        </w:rPr>
        <w:drawing>
          <wp:inline distT="0" distB="0" distL="0" distR="0" wp14:anchorId="0C80B58F" wp14:editId="484567FD">
            <wp:extent cx="5943600" cy="447103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471035"/>
                    </a:xfrm>
                    <a:prstGeom prst="rect">
                      <a:avLst/>
                    </a:prstGeom>
                  </pic:spPr>
                </pic:pic>
              </a:graphicData>
            </a:graphic>
          </wp:inline>
        </w:drawing>
      </w:r>
    </w:p>
    <w:p w14:paraId="56268586" w14:textId="41F02624" w:rsidR="001C0CF3" w:rsidRPr="0071045F" w:rsidRDefault="001C0CF3" w:rsidP="00550699">
      <w:pPr>
        <w:spacing w:line="360" w:lineRule="auto"/>
        <w:ind w:firstLine="0"/>
        <w:jc w:val="both"/>
        <w:rPr>
          <w:b w:val="0"/>
          <w:bCs/>
          <w:i/>
          <w:iCs/>
        </w:rPr>
      </w:pPr>
      <w:r w:rsidRPr="0071045F">
        <w:rPr>
          <w:b w:val="0"/>
          <w:bCs/>
          <w:i/>
          <w:iCs/>
        </w:rPr>
        <w:t>Figure S2:</w:t>
      </w:r>
      <w:r w:rsidR="00AF5B48">
        <w:rPr>
          <w:b w:val="0"/>
          <w:bCs/>
          <w:i/>
          <w:iCs/>
        </w:rPr>
        <w:t xml:space="preserve"> Grid cells</w:t>
      </w:r>
      <w:r w:rsidRPr="0071045F">
        <w:rPr>
          <w:b w:val="0"/>
          <w:bCs/>
          <w:i/>
          <w:iCs/>
        </w:rPr>
        <w:t xml:space="preserve"> </w:t>
      </w:r>
      <w:r w:rsidR="00AF5B48">
        <w:rPr>
          <w:b w:val="0"/>
          <w:bCs/>
          <w:i/>
          <w:iCs/>
        </w:rPr>
        <w:t>f</w:t>
      </w:r>
      <w:r w:rsidRPr="0071045F">
        <w:rPr>
          <w:b w:val="0"/>
          <w:bCs/>
          <w:i/>
          <w:iCs/>
        </w:rPr>
        <w:t>iring fields</w:t>
      </w:r>
      <w:r w:rsidR="009028D0">
        <w:rPr>
          <w:b w:val="0"/>
          <w:bCs/>
          <w:i/>
          <w:iCs/>
        </w:rPr>
        <w:t xml:space="preserve"> in flat arena</w:t>
      </w:r>
      <w:r>
        <w:rPr>
          <w:b w:val="0"/>
          <w:bCs/>
          <w:i/>
          <w:iCs/>
        </w:rPr>
        <w:t xml:space="preserve"> (first row)</w:t>
      </w:r>
      <w:r w:rsidRPr="0071045F">
        <w:rPr>
          <w:b w:val="0"/>
          <w:bCs/>
          <w:i/>
          <w:iCs/>
        </w:rPr>
        <w:t>, firing rate maps</w:t>
      </w:r>
      <w:r>
        <w:rPr>
          <w:b w:val="0"/>
          <w:bCs/>
          <w:i/>
          <w:iCs/>
        </w:rPr>
        <w:t xml:space="preserve"> (second row)</w:t>
      </w:r>
      <w:r w:rsidRPr="0071045F">
        <w:rPr>
          <w:b w:val="0"/>
          <w:bCs/>
          <w:i/>
          <w:iCs/>
        </w:rPr>
        <w:t xml:space="preserve"> and auto correlograms</w:t>
      </w:r>
      <w:r>
        <w:rPr>
          <w:b w:val="0"/>
          <w:bCs/>
          <w:i/>
          <w:iCs/>
        </w:rPr>
        <w:t xml:space="preserve"> (third row), linearized grid cell firing on helical maze during downward movement (fourth row), linearized grid cell firing on helical maze during </w:t>
      </w:r>
      <w:r>
        <w:rPr>
          <w:b w:val="0"/>
          <w:bCs/>
          <w:i/>
          <w:iCs/>
        </w:rPr>
        <w:lastRenderedPageBreak/>
        <w:t>upward movement (fifth row)</w:t>
      </w:r>
      <w:r w:rsidRPr="0071045F">
        <w:rPr>
          <w:b w:val="0"/>
          <w:bCs/>
          <w:i/>
          <w:iCs/>
        </w:rPr>
        <w:t xml:space="preserve"> for all the grid cells. </w:t>
      </w:r>
      <w:r w:rsidR="00970536">
        <w:rPr>
          <w:b w:val="0"/>
          <w:bCs/>
          <w:i/>
          <w:iCs/>
        </w:rPr>
        <w:t>The numbers on top of 2</w:t>
      </w:r>
      <w:r w:rsidR="00970536" w:rsidRPr="00970536">
        <w:rPr>
          <w:b w:val="0"/>
          <w:bCs/>
          <w:i/>
          <w:iCs/>
          <w:vertAlign w:val="superscript"/>
        </w:rPr>
        <w:t>nd</w:t>
      </w:r>
      <w:r w:rsidR="00970536">
        <w:rPr>
          <w:b w:val="0"/>
          <w:bCs/>
          <w:i/>
          <w:iCs/>
        </w:rPr>
        <w:t xml:space="preserve"> row i.e., firing rate maps of </w:t>
      </w:r>
      <w:r w:rsidR="00055BB3">
        <w:rPr>
          <w:b w:val="0"/>
          <w:bCs/>
          <w:i/>
          <w:iCs/>
        </w:rPr>
        <w:t>firing in flat arena are the hexagonal grid scores of the corresponding neurons.</w:t>
      </w:r>
    </w:p>
    <w:p w14:paraId="2E69EDB3" w14:textId="735B420E" w:rsidR="001C0CF3" w:rsidRDefault="00DB0665" w:rsidP="001C0CF3">
      <w:pPr>
        <w:spacing w:line="360" w:lineRule="auto"/>
        <w:ind w:firstLine="0"/>
      </w:pPr>
      <w:r>
        <w:rPr>
          <w:noProof/>
        </w:rPr>
        <w:drawing>
          <wp:inline distT="0" distB="0" distL="0" distR="0" wp14:anchorId="0F0213E4" wp14:editId="6D5BDF57">
            <wp:extent cx="5943600" cy="25654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565400"/>
                    </a:xfrm>
                    <a:prstGeom prst="rect">
                      <a:avLst/>
                    </a:prstGeom>
                  </pic:spPr>
                </pic:pic>
              </a:graphicData>
            </a:graphic>
          </wp:inline>
        </w:drawing>
      </w:r>
    </w:p>
    <w:p w14:paraId="178D6D78" w14:textId="74795B86" w:rsidR="001C0CF3" w:rsidRDefault="00DB0665" w:rsidP="00DB0665">
      <w:pPr>
        <w:spacing w:line="360" w:lineRule="auto"/>
        <w:ind w:firstLine="0"/>
      </w:pPr>
      <w:r>
        <w:rPr>
          <w:noProof/>
        </w:rPr>
        <w:drawing>
          <wp:inline distT="0" distB="0" distL="0" distR="0" wp14:anchorId="5DAF0622" wp14:editId="5553AA41">
            <wp:extent cx="5943600" cy="302069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020695"/>
                    </a:xfrm>
                    <a:prstGeom prst="rect">
                      <a:avLst/>
                    </a:prstGeom>
                  </pic:spPr>
                </pic:pic>
              </a:graphicData>
            </a:graphic>
          </wp:inline>
        </w:drawing>
      </w:r>
    </w:p>
    <w:p w14:paraId="61D2D2E7" w14:textId="53D3A878" w:rsidR="001C0CF3" w:rsidRPr="0071045F" w:rsidRDefault="001C0CF3" w:rsidP="001C0CF3">
      <w:pPr>
        <w:pStyle w:val="ListParagraph"/>
        <w:spacing w:line="360" w:lineRule="auto"/>
        <w:ind w:firstLine="0"/>
        <w:jc w:val="both"/>
        <w:rPr>
          <w:b w:val="0"/>
          <w:i/>
          <w:iCs/>
        </w:rPr>
      </w:pPr>
      <w:r w:rsidRPr="0071045F">
        <w:rPr>
          <w:b w:val="0"/>
          <w:i/>
          <w:iCs/>
        </w:rPr>
        <w:t xml:space="preserve">Figure S3: </w:t>
      </w:r>
      <w:r w:rsidR="00937590">
        <w:rPr>
          <w:b w:val="0"/>
          <w:i/>
          <w:iCs/>
        </w:rPr>
        <w:t>Place cells firing fields in flat arena (</w:t>
      </w:r>
      <w:r w:rsidR="00003918">
        <w:rPr>
          <w:b w:val="0"/>
          <w:i/>
          <w:iCs/>
        </w:rPr>
        <w:t>1</w:t>
      </w:r>
      <w:r w:rsidR="00003918" w:rsidRPr="00003918">
        <w:rPr>
          <w:b w:val="0"/>
          <w:i/>
          <w:iCs/>
          <w:vertAlign w:val="superscript"/>
        </w:rPr>
        <w:t>st</w:t>
      </w:r>
      <w:r w:rsidR="00003918">
        <w:rPr>
          <w:b w:val="0"/>
          <w:i/>
          <w:iCs/>
        </w:rPr>
        <w:t xml:space="preserve"> row), corresponding firing rate maps (2</w:t>
      </w:r>
      <w:r w:rsidR="00003918" w:rsidRPr="00003918">
        <w:rPr>
          <w:b w:val="0"/>
          <w:i/>
          <w:iCs/>
          <w:vertAlign w:val="superscript"/>
        </w:rPr>
        <w:t>nd</w:t>
      </w:r>
      <w:r w:rsidR="00003918">
        <w:rPr>
          <w:b w:val="0"/>
          <w:i/>
          <w:iCs/>
        </w:rPr>
        <w:t xml:space="preserve"> row),</w:t>
      </w:r>
      <w:r w:rsidR="00BF4645">
        <w:rPr>
          <w:b w:val="0"/>
          <w:i/>
          <w:iCs/>
        </w:rPr>
        <w:t xml:space="preserve"> l</w:t>
      </w:r>
      <w:r w:rsidRPr="0071045F">
        <w:rPr>
          <w:b w:val="0"/>
          <w:i/>
          <w:iCs/>
        </w:rPr>
        <w:t xml:space="preserve">inearized firing of </w:t>
      </w:r>
      <w:r w:rsidR="00BF4645">
        <w:rPr>
          <w:b w:val="0"/>
          <w:i/>
          <w:iCs/>
        </w:rPr>
        <w:t>corresponding</w:t>
      </w:r>
      <w:r w:rsidRPr="0071045F">
        <w:rPr>
          <w:b w:val="0"/>
          <w:i/>
          <w:iCs/>
        </w:rPr>
        <w:t xml:space="preserve"> place cells during downward</w:t>
      </w:r>
      <w:r w:rsidR="00BF4645">
        <w:rPr>
          <w:b w:val="0"/>
          <w:i/>
          <w:iCs/>
        </w:rPr>
        <w:t xml:space="preserve"> (3</w:t>
      </w:r>
      <w:r w:rsidR="00BF4645" w:rsidRPr="00BF4645">
        <w:rPr>
          <w:b w:val="0"/>
          <w:i/>
          <w:iCs/>
          <w:vertAlign w:val="superscript"/>
        </w:rPr>
        <w:t>rd</w:t>
      </w:r>
      <w:r w:rsidR="00BF4645">
        <w:rPr>
          <w:b w:val="0"/>
          <w:i/>
          <w:iCs/>
        </w:rPr>
        <w:t xml:space="preserve"> row)</w:t>
      </w:r>
      <w:r w:rsidRPr="0071045F">
        <w:rPr>
          <w:b w:val="0"/>
          <w:i/>
          <w:iCs/>
        </w:rPr>
        <w:t xml:space="preserve"> and upward movement</w:t>
      </w:r>
      <w:r w:rsidR="00917EDA">
        <w:rPr>
          <w:b w:val="0"/>
          <w:i/>
          <w:iCs/>
        </w:rPr>
        <w:t xml:space="preserve"> </w:t>
      </w:r>
      <w:r w:rsidR="00BF4645">
        <w:rPr>
          <w:b w:val="0"/>
          <w:i/>
          <w:iCs/>
        </w:rPr>
        <w:t>(4</w:t>
      </w:r>
      <w:r w:rsidR="00BF4645" w:rsidRPr="00BF4645">
        <w:rPr>
          <w:b w:val="0"/>
          <w:i/>
          <w:iCs/>
          <w:vertAlign w:val="superscript"/>
        </w:rPr>
        <w:t>th</w:t>
      </w:r>
      <w:r w:rsidR="00BF4645">
        <w:rPr>
          <w:b w:val="0"/>
          <w:i/>
          <w:iCs/>
        </w:rPr>
        <w:t xml:space="preserve"> row) </w:t>
      </w:r>
      <w:r w:rsidR="00917EDA">
        <w:rPr>
          <w:b w:val="0"/>
          <w:i/>
          <w:iCs/>
        </w:rPr>
        <w:t>on helix</w:t>
      </w:r>
      <w:r w:rsidRPr="0071045F">
        <w:rPr>
          <w:b w:val="0"/>
          <w:i/>
          <w:iCs/>
        </w:rPr>
        <w:t>.</w:t>
      </w:r>
    </w:p>
    <w:p w14:paraId="7BB45A9B" w14:textId="77777777" w:rsidR="001C0CF3" w:rsidRDefault="001C0CF3" w:rsidP="00BA7630">
      <w:pPr>
        <w:spacing w:line="360" w:lineRule="auto"/>
        <w:ind w:firstLine="0"/>
      </w:pPr>
    </w:p>
    <w:p w14:paraId="5EDD1D19" w14:textId="248C2C66" w:rsidR="001C0CF3" w:rsidRDefault="001C0CF3" w:rsidP="003247E3">
      <w:pPr>
        <w:numPr>
          <w:ilvl w:val="0"/>
          <w:numId w:val="1"/>
        </w:numPr>
        <w:spacing w:line="360" w:lineRule="auto"/>
      </w:pPr>
      <w:r>
        <w:t xml:space="preserve">Grid and place cells for Pegboard: </w:t>
      </w:r>
    </w:p>
    <w:p w14:paraId="6468B8A2" w14:textId="4D85E621" w:rsidR="009D4721" w:rsidRDefault="009D4721" w:rsidP="009D4721">
      <w:pPr>
        <w:spacing w:line="360" w:lineRule="auto"/>
      </w:pPr>
    </w:p>
    <w:p w14:paraId="6A58C690" w14:textId="75C13D34" w:rsidR="00345117" w:rsidRDefault="002B7C8D" w:rsidP="00D83466">
      <w:pPr>
        <w:spacing w:line="360" w:lineRule="auto"/>
      </w:pPr>
      <w:r>
        <w:rPr>
          <w:noProof/>
        </w:rPr>
        <w:lastRenderedPageBreak/>
        <w:drawing>
          <wp:inline distT="0" distB="0" distL="0" distR="0" wp14:anchorId="1155EFE6" wp14:editId="3BD371D5">
            <wp:extent cx="5943600" cy="3343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74369483" w14:textId="5D3979D7" w:rsidR="00B90F47" w:rsidRDefault="000551C8" w:rsidP="003247E3">
      <w:pPr>
        <w:pStyle w:val="ListParagraph"/>
        <w:spacing w:line="360" w:lineRule="auto"/>
        <w:ind w:firstLine="0"/>
        <w:jc w:val="both"/>
        <w:rPr>
          <w:b w:val="0"/>
        </w:rPr>
      </w:pPr>
      <w:r>
        <w:rPr>
          <w:b w:val="0"/>
          <w:bCs/>
          <w:i/>
          <w:iCs/>
        </w:rPr>
        <w:t>Figure S4: Grid cells responses. Firing rate maps in flat arena (Top row), Auto correlogram (middle row) and firing rate maps in Pegboard (bottom row)</w:t>
      </w:r>
      <w:r w:rsidR="002B7C8D">
        <w:rPr>
          <w:b w:val="0"/>
          <w:bCs/>
          <w:i/>
          <w:iCs/>
        </w:rPr>
        <w:t>.</w:t>
      </w:r>
    </w:p>
    <w:p w14:paraId="5320AAC7" w14:textId="7B27CA79" w:rsidR="00D83466" w:rsidRDefault="00D83466" w:rsidP="003247E3">
      <w:pPr>
        <w:pStyle w:val="ListParagraph"/>
        <w:spacing w:line="360" w:lineRule="auto"/>
        <w:ind w:firstLine="0"/>
        <w:jc w:val="both"/>
        <w:rPr>
          <w:b w:val="0"/>
        </w:rPr>
      </w:pPr>
    </w:p>
    <w:p w14:paraId="259EC07C" w14:textId="0546E6DA" w:rsidR="000551C8" w:rsidRPr="00F449DF" w:rsidRDefault="00F2203D" w:rsidP="00F449DF">
      <w:pPr>
        <w:spacing w:line="360" w:lineRule="auto"/>
        <w:ind w:left="0" w:firstLine="0"/>
        <w:jc w:val="both"/>
        <w:rPr>
          <w:b w:val="0"/>
        </w:rPr>
      </w:pPr>
      <w:r>
        <w:rPr>
          <w:b w:val="0"/>
          <w:noProof/>
        </w:rPr>
        <w:drawing>
          <wp:inline distT="0" distB="0" distL="0" distR="0" wp14:anchorId="0C12F54B" wp14:editId="1EC17A8E">
            <wp:extent cx="5943600" cy="33432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F53BDA6" w14:textId="0808E6B3" w:rsidR="001C0CF3" w:rsidRDefault="000551C8" w:rsidP="003247E3">
      <w:pPr>
        <w:pStyle w:val="ListParagraph"/>
        <w:spacing w:line="360" w:lineRule="auto"/>
        <w:ind w:firstLine="0"/>
        <w:jc w:val="both"/>
        <w:rPr>
          <w:b w:val="0"/>
          <w:i/>
          <w:iCs/>
        </w:rPr>
      </w:pPr>
      <w:r w:rsidRPr="00BA7630">
        <w:rPr>
          <w:b w:val="0"/>
          <w:i/>
          <w:iCs/>
        </w:rPr>
        <w:t>Figure S5:</w:t>
      </w:r>
      <w:r>
        <w:rPr>
          <w:b w:val="0"/>
          <w:i/>
          <w:iCs/>
        </w:rPr>
        <w:t xml:space="preserve"> </w:t>
      </w:r>
      <w:r w:rsidR="00E112F9">
        <w:rPr>
          <w:b w:val="0"/>
          <w:i/>
          <w:iCs/>
        </w:rPr>
        <w:t>Place cell responses. Firing rate maps of neurons in Flat arena (upper) and firing rate maps of corresponding neurons in Pegboard (bottom)</w:t>
      </w:r>
    </w:p>
    <w:p w14:paraId="1E4A10CD" w14:textId="77777777" w:rsidR="00114A66" w:rsidRDefault="00114A66" w:rsidP="003247E3">
      <w:pPr>
        <w:pStyle w:val="ListParagraph"/>
        <w:spacing w:line="360" w:lineRule="auto"/>
        <w:ind w:firstLine="0"/>
        <w:jc w:val="both"/>
        <w:rPr>
          <w:b w:val="0"/>
          <w:i/>
          <w:iCs/>
        </w:rPr>
      </w:pPr>
    </w:p>
    <w:p w14:paraId="7B9E0E6E" w14:textId="4432211E" w:rsidR="00114A66" w:rsidRPr="00BA7630" w:rsidRDefault="00114A66" w:rsidP="003247E3">
      <w:pPr>
        <w:pStyle w:val="ListParagraph"/>
        <w:spacing w:line="360" w:lineRule="auto"/>
        <w:ind w:firstLine="0"/>
        <w:jc w:val="both"/>
        <w:rPr>
          <w:b w:val="0"/>
          <w:i/>
          <w:iCs/>
        </w:rPr>
      </w:pPr>
      <w:r>
        <w:rPr>
          <w:b w:val="0"/>
          <w:i/>
          <w:noProof/>
          <w:lang w:val="en-US" w:eastAsia="en-US"/>
        </w:rPr>
        <w:lastRenderedPageBreak/>
        <w:drawing>
          <wp:inline distT="0" distB="0" distL="0" distR="0" wp14:anchorId="522D458D" wp14:editId="1A6EE47F">
            <wp:extent cx="5943600" cy="276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768600"/>
                    </a:xfrm>
                    <a:prstGeom prst="rect">
                      <a:avLst/>
                    </a:prstGeom>
                  </pic:spPr>
                </pic:pic>
              </a:graphicData>
            </a:graphic>
          </wp:inline>
        </w:drawing>
      </w:r>
    </w:p>
    <w:p w14:paraId="789971C7" w14:textId="47A4BC6F" w:rsidR="001C0CF3" w:rsidRPr="002D63B2" w:rsidRDefault="00016F44" w:rsidP="003247E3">
      <w:pPr>
        <w:pStyle w:val="ListParagraph"/>
        <w:spacing w:line="360" w:lineRule="auto"/>
        <w:ind w:firstLine="0"/>
        <w:jc w:val="both"/>
        <w:rPr>
          <w:b w:val="0"/>
          <w:i/>
          <w:iCs/>
        </w:rPr>
      </w:pPr>
      <w:r w:rsidRPr="002D63B2">
        <w:rPr>
          <w:b w:val="0"/>
          <w:i/>
          <w:iCs/>
        </w:rPr>
        <w:t xml:space="preserve">Figure S6: </w:t>
      </w:r>
      <w:r w:rsidR="005C206F" w:rsidRPr="002D63B2">
        <w:rPr>
          <w:b w:val="0"/>
          <w:i/>
          <w:iCs/>
        </w:rPr>
        <w:t>Field ex</w:t>
      </w:r>
      <w:r w:rsidR="00D21743" w:rsidRPr="002D63B2">
        <w:rPr>
          <w:b w:val="0"/>
          <w:i/>
          <w:iCs/>
        </w:rPr>
        <w:t>panse</w:t>
      </w:r>
      <w:r w:rsidR="005C206F" w:rsidRPr="002D63B2">
        <w:rPr>
          <w:b w:val="0"/>
          <w:i/>
          <w:iCs/>
        </w:rPr>
        <w:t xml:space="preserve"> for grid</w:t>
      </w:r>
      <w:r w:rsidR="00F2203D">
        <w:rPr>
          <w:b w:val="0"/>
          <w:i/>
          <w:iCs/>
        </w:rPr>
        <w:t xml:space="preserve"> (top two rows)</w:t>
      </w:r>
      <w:r w:rsidR="005C206F" w:rsidRPr="002D63B2">
        <w:rPr>
          <w:b w:val="0"/>
          <w:i/>
          <w:iCs/>
        </w:rPr>
        <w:t xml:space="preserve"> and place cell</w:t>
      </w:r>
      <w:r w:rsidR="00F2203D">
        <w:rPr>
          <w:b w:val="0"/>
          <w:i/>
          <w:iCs/>
        </w:rPr>
        <w:t xml:space="preserve"> (bottom two rows)</w:t>
      </w:r>
      <w:r w:rsidR="005C206F" w:rsidRPr="002D63B2">
        <w:rPr>
          <w:b w:val="0"/>
          <w:i/>
          <w:iCs/>
        </w:rPr>
        <w:t xml:space="preserve"> responses</w:t>
      </w:r>
      <w:r w:rsidR="00D21743" w:rsidRPr="002D63B2">
        <w:rPr>
          <w:b w:val="0"/>
          <w:i/>
          <w:iCs/>
        </w:rPr>
        <w:t xml:space="preserve"> in </w:t>
      </w:r>
      <w:r w:rsidR="005F3752" w:rsidRPr="002D63B2">
        <w:rPr>
          <w:b w:val="0"/>
          <w:i/>
          <w:iCs/>
        </w:rPr>
        <w:t>the p</w:t>
      </w:r>
      <w:r w:rsidR="00D21743" w:rsidRPr="002D63B2">
        <w:rPr>
          <w:b w:val="0"/>
          <w:i/>
          <w:iCs/>
        </w:rPr>
        <w:t xml:space="preserve">egboard. </w:t>
      </w:r>
      <w:r w:rsidR="00E82EF9" w:rsidRPr="002D63B2">
        <w:rPr>
          <w:b w:val="0"/>
          <w:i/>
          <w:iCs/>
        </w:rPr>
        <w:t xml:space="preserve">The </w:t>
      </w:r>
      <w:r w:rsidR="005F3752" w:rsidRPr="002D63B2">
        <w:rPr>
          <w:b w:val="0"/>
          <w:i/>
          <w:iCs/>
        </w:rPr>
        <w:t xml:space="preserve">pegboard is divided into </w:t>
      </w:r>
      <w:r w:rsidR="004952B3" w:rsidRPr="002D63B2">
        <w:rPr>
          <w:b w:val="0"/>
          <w:i/>
          <w:iCs/>
        </w:rPr>
        <w:t>5 equal sectors.</w:t>
      </w:r>
    </w:p>
    <w:p w14:paraId="0710B6DE" w14:textId="29BFBDD8" w:rsidR="00B90F47" w:rsidRPr="003247E3" w:rsidRDefault="00B90F47" w:rsidP="003247E3">
      <w:pPr>
        <w:pStyle w:val="ListParagraph"/>
        <w:tabs>
          <w:tab w:val="left" w:pos="-567"/>
        </w:tabs>
        <w:spacing w:line="360" w:lineRule="auto"/>
        <w:ind w:left="0" w:firstLine="0"/>
        <w:jc w:val="both"/>
        <w:rPr>
          <w:b w:val="0"/>
          <w:i/>
        </w:rPr>
      </w:pPr>
    </w:p>
    <w:p w14:paraId="5F51DC91" w14:textId="77777777" w:rsidR="00A16733" w:rsidRPr="004C439F" w:rsidRDefault="003E67A4" w:rsidP="00A16733">
      <w:pPr>
        <w:pStyle w:val="ListParagraph"/>
        <w:numPr>
          <w:ilvl w:val="0"/>
          <w:numId w:val="1"/>
        </w:numPr>
        <w:spacing w:line="360" w:lineRule="auto"/>
        <w:jc w:val="both"/>
        <w:rPr>
          <w:b w:val="0"/>
          <w:bCs/>
        </w:rPr>
      </w:pPr>
      <w:bookmarkStart w:id="0" w:name="_Hlk90632112"/>
      <w:r w:rsidRPr="004C439F">
        <w:t xml:space="preserve">Path </w:t>
      </w:r>
      <w:r w:rsidR="004A25EE" w:rsidRPr="004C439F">
        <w:t>Integration</w:t>
      </w:r>
      <w:r w:rsidRPr="004C439F">
        <w:t xml:space="preserve"> (PI) layer</w:t>
      </w:r>
      <w:r w:rsidRPr="004C439F">
        <w:rPr>
          <w:b w:val="0"/>
          <w:bCs/>
        </w:rPr>
        <w:t xml:space="preserve">: </w:t>
      </w:r>
      <w:r w:rsidR="00A16733" w:rsidRPr="004C439F">
        <w:rPr>
          <w:b w:val="0"/>
          <w:bCs/>
        </w:rPr>
        <w:t xml:space="preserve">This layer consists of oscillatory neurons that have one-to-one connection with neurons from the HD layer </w:t>
      </w:r>
      <w:r w:rsidR="00A16733" w:rsidRPr="004C439F">
        <w:rPr>
          <w:b w:val="0"/>
          <w:bCs/>
        </w:rPr>
        <w:fldChar w:fldCharType="begin" w:fldLock="1"/>
      </w:r>
      <w:r w:rsidR="00A16733" w:rsidRPr="004C439F">
        <w:rPr>
          <w:b w:val="0"/>
          <w:bCs/>
        </w:rPr>
        <w:instrText>ADDIN CSL_CITATION {"citationItems":[{"id":"ITEM-1","itemData":{"DOI":"10.1111/EJN.13918","ISSN":"1460-9568","PMID":"29575125","abstract":"Spatial cells in the hippocampal complex play a pivotal role in the navigation of an animal. Exact neural principles behind these spatial cell responses have not been completely unraveled yet. Here we present two models for spatial cells, namely the Velocity Driven Oscillatory Network (VDON) and Locomotor Driven Oscillatory Network. Both models have basically three stages in common such as direction encoding stage, path integration (PI) stage, and a stage of unsupervised learning of PI values. In the first model, the following three stages are implemented: head direction layer, frequency modulation by a layer of oscillatory neurons, and an unsupervised stage that extracts the principal components from the oscillator outputs. In the second model, a refined version of the first model, the stages are extraction of velocity representation from the locomotor input, frequency modulation by a layer of oscillators, and two cascaded unsupervised stages consisting of the lateral anti-hebbian network. The principal component stage of VDON exhibits grid cell-like spatially periodic responses including hexagonal firing fields. Locomotor Driven Oscillatory Network shows the emergence of spatially periodic grid cells and periodically active border-like cells in its lower layer; place cell responses are found in its higher layer. This model shows the inheritance of phase precession from grid cell to place cell in both one- and two-dimensional spaces. It also shows a novel result on the influence of locomotion rhythms on the grid cell activity. The study thus presents a comprehensive, unifying hierarchical model for hippocampal spatial cells.","author":[{"dropping-particle":"","family":"Soman","given":"Karthik","non-dropping-particle":"","parse-names":false,"suffix":""},{"dropping-particle":"","family":"Muralidharan","given":"Vignesh","non-dropping-particle":"","parse-names":false,"suffix":""},{"dropping-particle":"","family":"Chakravarthy","given":"Vaddadi Srinivasa","non-dropping-particle":"","parse-names":false,"suffix":""}],"container-title":"European Journal of Neuroscience","id":"ITEM-1","issue":"10","issued":{"date-parts":[["2018","5","1"]]},"page":"1266-1281","publisher":"John Wiley &amp; Sons, Ltd","title":"A unified hierarchical oscillatory network model of head direction cells, spatially periodic cells, and place cells","type":"article-journal","volume":"47"},"uris":["http://www.mendeley.com/documents/?uuid=be1d7940-de1c-317c-878d-b3a9a2fc10b5"]}],"mendeley":{"formattedCitation":"(Soman, Muralidharan, and Vaddadi Srinivasa Chakravarthy 2018)","manualFormatting":"(Soman, Muralidharan, and  Chakravarthy 2018)","plainTextFormattedCitation":"(Soman, Muralidharan, and Vaddadi Srinivasa Chakravarthy 2018)","previouslyFormattedCitation":"(Soman, Muralidharan, and Vaddadi Srinivasa Chakravarthy 2018)"},"properties":{"noteIndex":0},"schema":"https://github.com/citation-style-language/schema/raw/master/csl-citation.json"}</w:instrText>
      </w:r>
      <w:r w:rsidR="00A16733" w:rsidRPr="004C439F">
        <w:rPr>
          <w:b w:val="0"/>
          <w:bCs/>
        </w:rPr>
        <w:fldChar w:fldCharType="separate"/>
      </w:r>
      <w:r w:rsidR="00A16733" w:rsidRPr="004C439F">
        <w:rPr>
          <w:b w:val="0"/>
          <w:bCs/>
          <w:noProof/>
        </w:rPr>
        <w:t>(Soman, Muralidharan, and  Chakravarthy 2018)</w:t>
      </w:r>
      <w:r w:rsidR="00A16733" w:rsidRPr="004C439F">
        <w:rPr>
          <w:b w:val="0"/>
          <w:bCs/>
        </w:rPr>
        <w:fldChar w:fldCharType="end"/>
      </w:r>
      <w:r w:rsidR="00A16733" w:rsidRPr="004C439F">
        <w:rPr>
          <w:b w:val="0"/>
          <w:bCs/>
        </w:rPr>
        <w:t>. The process involved in this layer can be divided into two major stages. The first stage is frequency modulation of the HD responses. The second stage consists of low pass filtering to eliminate time-dependent high frequency oscillations, which gives the path integration output.</w:t>
      </w:r>
    </w:p>
    <w:p w14:paraId="62878D2D" w14:textId="77777777" w:rsidR="00A16733" w:rsidRPr="004C439F" w:rsidRDefault="00A16733" w:rsidP="00A16733">
      <w:pPr>
        <w:pStyle w:val="ListParagraph"/>
        <w:spacing w:line="360" w:lineRule="auto"/>
        <w:ind w:firstLine="0"/>
        <w:jc w:val="both"/>
        <w:rPr>
          <w:b w:val="0"/>
          <w:bCs/>
        </w:rPr>
      </w:pPr>
      <w:bookmarkStart w:id="1" w:name="_Hlk112068813"/>
      <w:r w:rsidRPr="004C439F">
        <w:rPr>
          <w:b w:val="0"/>
          <w:bCs/>
        </w:rPr>
        <w:t xml:space="preserve">It is evident that theta oscillations exist in the Hippocampal formation and are modulated almost linearly with velocity </w:t>
      </w:r>
      <w:r w:rsidRPr="004C439F">
        <w:rPr>
          <w:b w:val="0"/>
          <w:bCs/>
        </w:rPr>
        <w:fldChar w:fldCharType="begin" w:fldLock="1"/>
      </w:r>
      <w:r>
        <w:rPr>
          <w:b w:val="0"/>
          <w:bCs/>
        </w:rPr>
        <w:instrText>ADDIN CSL_CITATION {"citationItems":[{"id":"ITEM-1","itemData":{"DOI":"10.1073/pnas.0610121104","ISSN":"00278424","PMID":"17470808","abstract":"The phase of spikes of hippocampal pyramidal cells relative to the local field θ oscillation shifts forward (\"phase precession\") over a full θ cycle as the animal crosses the cell's receptive field (\"place field\"). The linear relationship between the phase of the spikes and the travel distance within the place field is independent of the animal's running speed. This invariance of the phase-distance relationship is likely to be important for coordinated activity of hippocampal cells and space coding, yet the mechanism responsible for it is not known. Here we show that at faster running speeds place cells are active for fewer θ cycles but oscillate at a higher frequency and emit more spikes per cycle. As a result, the phase shift of spikes from cycle to cycle (i.e., temporal precession slope) is faster, yet spatial-phase precession stays unchanged. Interneurons can also show transient-phase precession and contribute to the formation of coherently precessing assemblies. We hypothesize that the speed-correlated acceleration of place cell assembly oscillation is responsible for the phase-distance invariance of hippocampal place cells. © 2007 by The National Academy of Sciences of the USA.","author":[{"dropping-particle":"","family":"Geisler","given":"Caroline","non-dropping-particle":"","parse-names":false,"suffix":""},{"dropping-particle":"","family":"Robbe","given":"David","non-dropping-particle":"","parse-names":false,"suffix":""},{"dropping-particle":"","family":"Zugaro","given":"Michaël","non-dropping-particle":"","parse-names":false,"suffix":""},{"dropping-particle":"","family":"Sirota","given":"Anton","non-dropping-particle":"","parse-names":false,"suffix":""},{"dropping-particle":"","family":"Buzsáki","given":"György","non-dropping-particle":"","parse-names":false,"suffix":""}],"container-title":"Proceedings of the National Academy of Sciences of the United States of America","id":"ITEM-1","issue":"19","issued":{"date-parts":[["2007","5","8"]]},"page":"8149-8154","title":"Hippocampal place cell assemblies are speed-controlled oscillators","type":"article-journal","volume":"104"},"uris":["http://www.mendeley.com/documents/?uuid=a6702703-caba-3b4e-981b-ac1708d8667b"]},{"id":"ITEM-2","itemData":{"DOI":"10.1002/hipo.20327","ISSN":"10509631","PMID":"17598147","abstract":"We expand upon our proposal that the oscillatory interference mechanism proposed for the phase precession effect in place cells underlies the grid-like firing pattern of dorsomedial entorhinal grid cells (O'Keefe and Burgess (2005) Hippocampus 15:853-866). The original one-dimensional interference model is generalized to an appropriate two-dimensional mechanism. Specifically, dendritic subunits of layer II medial entorhinal stellate cells provide multiple linear interference patterns along different directions, with their product determining the firing of the cell. Connection of appropriate speed- and direction- dependent inputs onto dendritic subunits could result from an unsupervised learning rule which maximizes postsynaptic firing (e.g. competitive learning). These inputs cause the intrinsic oscillation of subunit membrane potential to increase above theta frequency by an amount proportional to the animal's speed of running in the \"preferred\" direction. The phase difference between this oscillation and a somatic input at theta-frequency essentially integrates velocity so that the interference of the two oscillations reflects distance traveled in the preferred direction. The overall grid pattern is maintained in environmental location by phase reset of the grid cell by place cells receiving sensory input from the environment, and environmental boundaries in particular. We also outline possible variations on the basic model, including the generation of grid-like firing via the interaction of multiple cells rather than via multiple dendritic subunits. Predictions of the interference model are given for the frequency composition of EEG power spectra and temporal autocorrelograms of grid cell firing as functions of the speed and direction of running and the novelty of the environment. © 2007 Wiley-Liss, Inc.","author":[{"dropping-particle":"","family":"Burgess","given":"Neil","non-dropping-particle":"","parse-names":false,"suffix":""},{"dropping-particle":"","family":"Barry","given":"Caswell","non-dropping-particle":"","parse-names":false,"suffix":""},{"dropping-particle":"","family":"O'Keefe","given":"John","non-dropping-particle":"","parse-names":false,"suffix":""}],"container-title":"Hippocampus","id":"ITEM-2","issue":"9","issued":{"date-parts":[["2007"]]},"page":"801-812","title":"An oscillatory interference model of grid cell firing","type":"article-journal","volume":"17"},"uris":["http://www.mendeley.com/documents/?uuid=e93abeee-539c-3a62-b48e-a740c0309278"]}],"mendeley":{"formattedCitation":"(Burgess, Barry, and O’Keefe 2007; Geisler et al. 2007)","plainTextFormattedCitation":"(Burgess, Barry, and O’Keefe 2007; Geisler et al. 2007)","previouslyFormattedCitation":"(Burgess, Barry and O’Keefe, 2007; Geisler &lt;i&gt;et al.&lt;/i&gt;, 2007)"},"properties":{"noteIndex":0},"schema":"https://github.com/citation-style-language/schema/raw/master/csl-citation.json"}</w:instrText>
      </w:r>
      <w:r w:rsidRPr="004C439F">
        <w:rPr>
          <w:b w:val="0"/>
          <w:bCs/>
        </w:rPr>
        <w:fldChar w:fldCharType="separate"/>
      </w:r>
      <w:r w:rsidRPr="00550699">
        <w:rPr>
          <w:b w:val="0"/>
          <w:bCs/>
          <w:noProof/>
        </w:rPr>
        <w:t>(Burgess, Barry, and O’Keefe 2007; Geisler et al. 2007)</w:t>
      </w:r>
      <w:r w:rsidRPr="004C439F">
        <w:rPr>
          <w:b w:val="0"/>
          <w:bCs/>
        </w:rPr>
        <w:fldChar w:fldCharType="end"/>
      </w:r>
      <w:r w:rsidRPr="004C439F">
        <w:rPr>
          <w:b w:val="0"/>
          <w:bCs/>
        </w:rPr>
        <w:t>. The simplest way to represent frequency is in the form of sinusoids. Hence, we start with sinusoids with theta frequency (</w:t>
      </w:r>
      <m:oMath>
        <m:r>
          <m:rPr>
            <m:sty m:val="bi"/>
          </m:rPr>
          <w:rPr>
            <w:rFonts w:ascii="Cambria Math" w:eastAsia="Cambria Math" w:hAnsi="Cambria Math"/>
          </w:rPr>
          <m:t>ω)</m:t>
        </m:r>
      </m:oMath>
      <w:r w:rsidRPr="004C439F">
        <w:rPr>
          <w:b w:val="0"/>
          <w:bCs/>
        </w:rPr>
        <w:t xml:space="preserve"> in eqn 1.</w:t>
      </w:r>
      <w:bookmarkEnd w:id="1"/>
    </w:p>
    <w:p w14:paraId="053FE3C6" w14:textId="77777777" w:rsidR="00A16733" w:rsidRPr="004C439F" w:rsidRDefault="00A16733" w:rsidP="00A16733">
      <w:pPr>
        <w:spacing w:line="360" w:lineRule="auto"/>
        <w:jc w:val="both"/>
        <w:rPr>
          <w:b w:val="0"/>
          <w:bCs/>
        </w:rPr>
      </w:pPr>
    </w:p>
    <w:p w14:paraId="7F11D008" w14:textId="77777777" w:rsidR="00A16733" w:rsidRPr="004C439F" w:rsidRDefault="00A16733" w:rsidP="00A16733">
      <w:pPr>
        <w:spacing w:line="360" w:lineRule="auto"/>
        <w:ind w:firstLine="0"/>
        <w:jc w:val="both"/>
        <w:rPr>
          <w:rFonts w:ascii="Cambria Math" w:eastAsia="Cambria Math" w:hAnsi="Cambria Math" w:cs="Cambria Math"/>
          <w:b w:val="0"/>
          <w:bCs/>
        </w:rPr>
      </w:pPr>
      <w:r w:rsidRPr="004C439F">
        <w:rPr>
          <w:b w:val="0"/>
          <w:bCs/>
        </w:rPr>
        <w:t>The first stage of frequency modulation (FM) of PI is described by the following equations:</w:t>
      </w:r>
    </w:p>
    <w:p w14:paraId="6966D072" w14:textId="77777777" w:rsidR="00A16733" w:rsidRPr="004C439F" w:rsidRDefault="00A16733" w:rsidP="00A16733">
      <w:pPr>
        <w:spacing w:line="360" w:lineRule="auto"/>
        <w:jc w:val="center"/>
        <w:rPr>
          <w:rFonts w:ascii="Cambria Math" w:eastAsia="Cambria Math" w:hAnsi="Cambria Math" w:cs="Cambria Math"/>
          <w:b w:val="0"/>
          <w:bCs/>
        </w:rPr>
      </w:pPr>
      <w:r w:rsidRPr="004C439F">
        <w:rPr>
          <w:rFonts w:ascii="Cambria Math" w:eastAsia="Cambria Math" w:hAnsi="Cambria Math" w:cs="Cambria Math"/>
          <w:b w:val="0"/>
          <w:bCs/>
        </w:rPr>
        <w:t xml:space="preserve">                                                    </w:t>
      </w:r>
      <m:oMath>
        <m:sSub>
          <m:sSubPr>
            <m:ctrlPr>
              <w:rPr>
                <w:rFonts w:ascii="Cambria Math" w:eastAsia="Cambria Math" w:hAnsi="Cambria Math" w:cs="Cambria Math"/>
                <w:b w:val="0"/>
                <w:bCs/>
              </w:rPr>
            </m:ctrlPr>
          </m:sSubPr>
          <m:e>
            <m:r>
              <m:rPr>
                <m:sty m:val="bi"/>
              </m:rPr>
              <w:rPr>
                <w:rFonts w:ascii="Cambria Math" w:eastAsia="Cambria Math" w:hAnsi="Cambria Math" w:cs="Cambria Math"/>
              </w:rPr>
              <m:t>PI</m:t>
            </m:r>
          </m:e>
          <m:sub>
            <m:sSub>
              <m:sSubPr>
                <m:ctrlPr>
                  <w:rPr>
                    <w:rFonts w:ascii="Cambria Math" w:eastAsia="Cambria Math" w:hAnsi="Cambria Math" w:cs="Cambria Math"/>
                    <w:b w:val="0"/>
                    <w:bCs/>
                  </w:rPr>
                </m:ctrlPr>
              </m:sSubPr>
              <m:e>
                <m:r>
                  <m:rPr>
                    <m:sty m:val="bi"/>
                  </m:rPr>
                  <w:rPr>
                    <w:rFonts w:ascii="Cambria Math" w:eastAsia="Cambria Math" w:hAnsi="Cambria Math" w:cs="Cambria Math"/>
                  </w:rPr>
                  <m:t>i</m:t>
                </m:r>
              </m:e>
              <m:sub>
                <m:r>
                  <m:rPr>
                    <m:sty m:val="bi"/>
                  </m:rPr>
                  <w:rPr>
                    <w:rFonts w:ascii="Cambria Math" w:eastAsia="Cambria Math" w:hAnsi="Cambria Math" w:cs="Cambria Math"/>
                  </w:rPr>
                  <m:t>fm</m:t>
                </m:r>
              </m:sub>
            </m:sSub>
          </m:sub>
        </m:sSub>
        <m:r>
          <m:rPr>
            <m:sty m:val="bi"/>
          </m:rPr>
          <w:rPr>
            <w:rFonts w:ascii="Cambria Math" w:eastAsia="Cambria Math" w:hAnsi="Cambria Math" w:cs="Cambria Math"/>
          </w:rPr>
          <m:t>= sin[ωt + β  ∫(</m:t>
        </m:r>
        <m:sSub>
          <m:sSubPr>
            <m:ctrlPr>
              <w:rPr>
                <w:rFonts w:ascii="Cambria Math" w:eastAsia="Cambria Math" w:hAnsi="Cambria Math" w:cs="Cambria Math"/>
                <w:b w:val="0"/>
                <w:bCs/>
              </w:rPr>
            </m:ctrlPr>
          </m:sSubPr>
          <m:e>
            <m:r>
              <m:rPr>
                <m:sty m:val="bi"/>
              </m:rPr>
              <w:rPr>
                <w:rFonts w:ascii="Cambria Math" w:eastAsia="Cambria Math" w:hAnsi="Cambria Math" w:cs="Cambria Math"/>
              </w:rPr>
              <m:t>HD</m:t>
            </m:r>
          </m:e>
          <m:sub>
            <m:r>
              <m:rPr>
                <m:sty m:val="bi"/>
              </m:rPr>
              <w:rPr>
                <w:rFonts w:ascii="Cambria Math" w:eastAsia="Cambria Math" w:hAnsi="Cambria Math" w:cs="Cambria Math"/>
              </w:rPr>
              <m:t>i</m:t>
            </m:r>
          </m:sub>
        </m:sSub>
        <m:r>
          <m:rPr>
            <m:sty m:val="bi"/>
          </m:rPr>
          <w:rPr>
            <w:rFonts w:ascii="Cambria Math" w:eastAsia="Cambria Math" w:hAnsi="Cambria Math" w:cs="Cambria Math"/>
          </w:rPr>
          <m:t>)dt]</m:t>
        </m:r>
      </m:oMath>
      <w:r w:rsidRPr="004C439F">
        <w:rPr>
          <w:rFonts w:ascii="Cambria Math" w:eastAsia="Cambria Math" w:hAnsi="Cambria Math" w:cs="Cambria Math"/>
          <w:b w:val="0"/>
          <w:bCs/>
        </w:rPr>
        <w:t xml:space="preserve">                                            (1)</w:t>
      </w:r>
    </w:p>
    <w:p w14:paraId="285783E7" w14:textId="77777777" w:rsidR="00A16733" w:rsidRPr="004C439F" w:rsidRDefault="00A16733" w:rsidP="00A16733">
      <w:pPr>
        <w:spacing w:line="360" w:lineRule="auto"/>
        <w:rPr>
          <w:b w:val="0"/>
          <w:bCs/>
        </w:rPr>
      </w:pPr>
      <w:r w:rsidRPr="004C439F">
        <w:rPr>
          <w:b w:val="0"/>
          <w:bCs/>
        </w:rPr>
        <w:t xml:space="preserve">                                                         </w:t>
      </w:r>
      <m:oMath>
        <m:r>
          <m:rPr>
            <m:sty m:val="bi"/>
          </m:rPr>
          <w:rPr>
            <w:rFonts w:ascii="Cambria Math" w:eastAsia="Cambria Math" w:hAnsi="Cambria Math" w:cs="Cambria Math"/>
          </w:rPr>
          <m:t>= sin[ωt + β  ∫(v(t).</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r>
          <m:rPr>
            <m:sty m:val="bi"/>
          </m:rPr>
          <w:rPr>
            <w:rFonts w:ascii="Cambria Math" w:eastAsia="Cambria Math" w:hAnsi="Cambria Math" w:cs="Cambria Math"/>
          </w:rPr>
          <m:t xml:space="preserve">)dt] </m:t>
        </m:r>
      </m:oMath>
    </w:p>
    <w:p w14:paraId="406BEA44" w14:textId="77777777" w:rsidR="00A16733" w:rsidRPr="004C439F" w:rsidRDefault="00A16733" w:rsidP="00A16733">
      <w:pPr>
        <w:spacing w:line="360" w:lineRule="auto"/>
        <w:jc w:val="both"/>
        <w:rPr>
          <w:rFonts w:ascii="Cambria Math" w:eastAsia="Cambria Math" w:hAnsi="Cambria Math" w:cs="Cambria Math"/>
          <w:b w:val="0"/>
          <w:bCs/>
        </w:rPr>
      </w:pPr>
      <w:r w:rsidRPr="004C439F">
        <w:rPr>
          <w:b w:val="0"/>
          <w:bCs/>
        </w:rPr>
        <w:tab/>
      </w:r>
      <w:r w:rsidRPr="004C439F">
        <w:rPr>
          <w:b w:val="0"/>
          <w:bCs/>
        </w:rPr>
        <w:tab/>
      </w:r>
      <w:r w:rsidRPr="004C439F">
        <w:rPr>
          <w:b w:val="0"/>
          <w:bCs/>
        </w:rPr>
        <w:tab/>
      </w:r>
      <w:r w:rsidRPr="004C439F">
        <w:rPr>
          <w:b w:val="0"/>
          <w:bCs/>
        </w:rPr>
        <w:tab/>
        <w:t xml:space="preserve">              </w:t>
      </w:r>
      <m:oMath>
        <m:r>
          <m:rPr>
            <m:sty m:val="bi"/>
          </m:rPr>
          <w:rPr>
            <w:rFonts w:ascii="Cambria Math" w:eastAsia="Cambria Math" w:hAnsi="Cambria Math" w:cs="Cambria Math"/>
          </w:rPr>
          <m:t>= sin[ωt + βz.</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r>
          <m:rPr>
            <m:sty m:val="bi"/>
          </m:rPr>
          <w:rPr>
            <w:rFonts w:ascii="Cambria Math" w:eastAsia="Cambria Math" w:hAnsi="Cambria Math" w:cs="Cambria Math"/>
          </w:rPr>
          <m:t>]</m:t>
        </m:r>
      </m:oMath>
      <w:r w:rsidRPr="004C439F">
        <w:rPr>
          <w:rFonts w:ascii="Cambria Math" w:eastAsia="Cambria Math" w:hAnsi="Cambria Math" w:cs="Cambria Math"/>
          <w:b w:val="0"/>
          <w:bCs/>
        </w:rPr>
        <w:t xml:space="preserve">                                                                               (2)</w:t>
      </w:r>
    </w:p>
    <w:p w14:paraId="07071922" w14:textId="77777777" w:rsidR="00A16733" w:rsidRPr="004C439F" w:rsidRDefault="00A16733" w:rsidP="00A16733">
      <w:pPr>
        <w:spacing w:line="360" w:lineRule="auto"/>
        <w:ind w:firstLine="0"/>
        <w:jc w:val="both"/>
        <w:rPr>
          <w:b w:val="0"/>
          <w:bCs/>
        </w:rPr>
      </w:pPr>
      <w:r w:rsidRPr="004C439F">
        <w:rPr>
          <w:b w:val="0"/>
          <w:bCs/>
        </w:rPr>
        <w:t xml:space="preserve">where, ω is the average base angular frequency of the oscillators which lies in theta frequency (4Hz – 8Hz) observed in the hippocampus, z is the displacement of the animal </w:t>
      </w:r>
      <w:r w:rsidRPr="004C439F">
        <w:rPr>
          <w:b w:val="0"/>
          <w:bCs/>
        </w:rPr>
        <w:lastRenderedPageBreak/>
        <w:t xml:space="preserve">from its initial position, β is the scaling factor and </w:t>
      </w:r>
      <m:oMath>
        <m:sSub>
          <m:sSubPr>
            <m:ctrlPr>
              <w:rPr>
                <w:rFonts w:ascii="Cambria Math" w:eastAsia="Cambria Math" w:hAnsi="Cambria Math" w:cs="Cambria Math"/>
                <w:b w:val="0"/>
                <w:bCs/>
              </w:rPr>
            </m:ctrlPr>
          </m:sSubPr>
          <m:e>
            <m:r>
              <m:rPr>
                <m:sty m:val="bi"/>
              </m:rPr>
              <w:rPr>
                <w:rFonts w:ascii="Cambria Math" w:eastAsia="Cambria Math" w:hAnsi="Cambria Math" w:cs="Cambria Math"/>
              </w:rPr>
              <m:t>HD</m:t>
            </m:r>
          </m:e>
          <m:sub>
            <m:r>
              <m:rPr>
                <m:sty m:val="bi"/>
              </m:rPr>
              <w:rPr>
                <w:rFonts w:ascii="Cambria Math" w:eastAsia="Cambria Math" w:hAnsi="Cambria Math" w:cs="Cambria Math"/>
              </w:rPr>
              <m:t>i</m:t>
            </m:r>
          </m:sub>
        </m:sSub>
      </m:oMath>
      <w:r w:rsidRPr="004C439F">
        <w:rPr>
          <w:b w:val="0"/>
          <w:bCs/>
        </w:rPr>
        <w:t xml:space="preserve"> is the output of Head direction layer (methods section).</w:t>
      </w:r>
    </w:p>
    <w:p w14:paraId="365BEC71" w14:textId="77777777" w:rsidR="00A16733" w:rsidRPr="004C439F" w:rsidRDefault="00A16733" w:rsidP="00A16733">
      <w:pPr>
        <w:spacing w:line="360" w:lineRule="auto"/>
        <w:jc w:val="both"/>
        <w:rPr>
          <w:b w:val="0"/>
          <w:bCs/>
        </w:rPr>
      </w:pPr>
    </w:p>
    <w:p w14:paraId="7F8A82A3" w14:textId="77777777" w:rsidR="00A16733" w:rsidRPr="004C439F" w:rsidRDefault="00A16733" w:rsidP="00A16733">
      <w:pPr>
        <w:widowControl w:val="0"/>
        <w:autoSpaceDE w:val="0"/>
        <w:autoSpaceDN w:val="0"/>
        <w:adjustRightInd w:val="0"/>
        <w:spacing w:line="360" w:lineRule="auto"/>
        <w:ind w:firstLine="0"/>
        <w:jc w:val="both"/>
        <w:rPr>
          <w:b w:val="0"/>
          <w:bCs/>
        </w:rPr>
      </w:pPr>
      <w:r w:rsidRPr="004C439F">
        <w:rPr>
          <w:b w:val="0"/>
          <w:bCs/>
        </w:rPr>
        <w:t xml:space="preserve">This was the model of path integration used in </w:t>
      </w:r>
      <w:r w:rsidRPr="004C439F">
        <w:rPr>
          <w:b w:val="0"/>
          <w:bCs/>
        </w:rPr>
        <w:fldChar w:fldCharType="begin" w:fldLock="1"/>
      </w:r>
      <w:r w:rsidRPr="004C439F">
        <w:rPr>
          <w:b w:val="0"/>
          <w:bCs/>
        </w:rPr>
        <w:instrText>ADDIN CSL_CITATION {"citationItems":[{"id":"ITEM-1","itemData":{"DOI":"10.1109/TCDS.2017.2752369","ISSN":"2379-8920","author":[{"dropping-particle":"","family":"Soman","given":"Karthik","non-dropping-particle":"","parse-names":false,"suffix":""},{"dropping-particle":"","family":"Muralidharan","given":"Vignesh","non-dropping-particle":"","parse-names":false,"suffix":""},{"dropping-particle":"","family":"Chakravarthy","given":"V. Srinivasa","non-dropping-particle":"","parse-names":false,"suffix":""}],"container-title":"IEEE Transactions on Cognitive and Developmental Systems","id":"ITEM-1","issue":"3","issued":{"date-parts":[["2018","9"]]},"page":"637-646","title":"A Model of Multisensory Integration and Its Influence on Hippocampal Spatial Cell Responses","type":"article-journal","volume":"10"},"uris":["http://www.mendeley.com/documents/?uuid=346e852e-bf51-3fe5-83ab-5df7d42b9a49","http://www.mendeley.com/documents/?uuid=1ff07558-86b9-4a81-9972-51e3623dc476"]},{"id":"ITEM-2","itemData":{"DOI":"10.1111/EJN.13918","ISSN":"1460-9568","PMID":"29575125","abstract":"Spatial cells in the hippocampal complex play a pivotal role in the navigation of an animal. Exact neural principles behind these spatial cell responses have not been completely unraveled yet. Here we present two models for spatial cells, namely the Velocity Driven Oscillatory Network (VDON) and Locomotor Driven Oscillatory Network. Both models have basically three stages in common such as direction encoding stage, path integration (PI) stage, and a stage of unsupervised learning of PI values. In the first model, the following three stages are implemented: head direction layer, frequency modulation by a layer of oscillatory neurons, and an unsupervised stage that extracts the principal components from the oscillator outputs. In the second model, a refined version of the first model, the stages are extraction of velocity representation from the locomotor input, frequency modulation by a layer of oscillators, and two cascaded unsupervised stages consisting of the lateral anti-hebbian network. The principal component stage of VDON exhibits grid cell-like spatially periodic responses including hexagonal firing fields. Locomotor Driven Oscillatory Network shows the emergence of spatially periodic grid cells and periodically active border-like cells in its lower layer; place cell responses are found in its higher layer. This model shows the inheritance of phase precession from grid cell to place cell in both one- and two-dimensional spaces. It also shows a novel result on the influence of locomotion rhythms on the grid cell activity. The study thus presents a comprehensive, unifying hierarchical model for hippocampal spatial cells.","author":[{"dropping-particle":"","family":"Soman","given":"Karthik","non-dropping-particle":"","parse-names":false,"suffix":""},{"dropping-particle":"","family":"Muralidharan","given":"Vignesh","non-dropping-particle":"","parse-names":false,"suffix":""},{"dropping-particle":"","family":"Chakravarthy","given":"Vaddadi Srinivasa","non-dropping-particle":"","parse-names":false,"suffix":""}],"container-title":"European Journal of Neuroscience","id":"ITEM-2","issue":"10","issued":{"date-parts":[["2018","5","1"]]},"page":"1266-1281","publisher":"John Wiley &amp; Sons, Ltd","title":"A unified hierarchical oscillatory network model of head direction cells, spatially periodic cells, and place cells","type":"article-journal","volume":"47"},"uris":["http://www.mendeley.com/documents/?uuid=be1d7940-de1c-317c-878d-b3a9a2fc10b5"]}],"mendeley":{"formattedCitation":"(Soman, Muralidharan, and V. Srinivasa Chakravarthy 2018; Soman, Muralidharan, and Vaddadi Srinivasa Chakravarthy 2018)","manualFormatting":"(Soman, Muralidharan, and Chakravarthy 2018; Soman, Muralidharan, and Chakravarthy 2018)","plainTextFormattedCitation":"(Soman, Muralidharan, and V. Srinivasa Chakravarthy 2018; Soman, Muralidharan, and Vaddadi Srinivasa Chakravarthy 2018)","previouslyFormattedCitation":"(Soman, Muralidharan, and V. Srinivasa Chakravarthy 2018; Soman, Muralidharan, and Vaddadi Srinivasa Chakravarthy 2018)"},"properties":{"noteIndex":0},"schema":"https://github.com/citation-style-language/schema/raw/master/csl-citation.json"}</w:instrText>
      </w:r>
      <w:r w:rsidRPr="004C439F">
        <w:rPr>
          <w:b w:val="0"/>
          <w:bCs/>
        </w:rPr>
        <w:fldChar w:fldCharType="separate"/>
      </w:r>
      <w:r w:rsidRPr="004C439F">
        <w:rPr>
          <w:b w:val="0"/>
          <w:bCs/>
          <w:noProof/>
        </w:rPr>
        <w:t>(Soman, Muralidharan, and Chakravarthy 2018; Soman, Muralidharan, and Chakravarthy 2018)</w:t>
      </w:r>
      <w:r w:rsidRPr="004C439F">
        <w:rPr>
          <w:b w:val="0"/>
          <w:bCs/>
        </w:rPr>
        <w:fldChar w:fldCharType="end"/>
      </w:r>
      <w:r w:rsidRPr="004C439F">
        <w:rPr>
          <w:b w:val="0"/>
          <w:bCs/>
        </w:rPr>
        <w:t xml:space="preserve"> (eqn. 1). This is one of the models which overcomes the constraint of specific direction tuning. However, it was also shown that with certain improvements, the OI models can also overcome this problem </w:t>
      </w:r>
      <w:r w:rsidRPr="004C439F">
        <w:rPr>
          <w:b w:val="0"/>
          <w:bCs/>
        </w:rPr>
        <w:fldChar w:fldCharType="begin" w:fldLock="1"/>
      </w:r>
      <w:r w:rsidRPr="004C439F">
        <w:rPr>
          <w:b w:val="0"/>
          <w:bCs/>
        </w:rPr>
        <w:instrText>ADDIN CSL_CITATION {"citationItems":[{"id":"ITEM-1","itemData":{"DOI":"10.3389/FNSYS.2014.00201/BIBTEX","ISSN":"16625137","abstract":"This article presents a model using cellular resonance and rebound properties to model grid cells in medial entorhinal cortex. The model simulates the intrinsic resonance properties of single layer II stellate cells with different frequencies due to the hyperpolarization activated cation current (h current). The stellate cells generate rebound spikes after a delay interval that differs for neurons with different resonance frequency. Stellate cells drive inhibitory interneurons to cause rebound from inhibition in an alternate set of stellate cells that drive interneurons to activate the first set of cells. This allows maintenance of activity with cycle skipping of the spiking of cells that matches recent physiological data on theta cycle skipping. The rebound spiking interacts with subthreshold oscillatory input to stellate cells or interneurons regulated by medial septal input and defined relative to the spatial location coded by neurons. The timing of rebound determines whether the network maintains the activity for the same location or shifts to phases of activity representing a different location. Simulations show that spatial firing patterns similar to grid cells can be generated with a range of different resonance frequencies, indicating how grid cells could be generated with low frequencies present in bats and in mice with knockout of the HCN1 subunit of the h current.","author":[{"dropping-particle":"","family":"Hasselmo","given":"Michael E.","non-dropping-particle":"","parse-names":false,"suffix":""},{"dropping-particle":"","family":"Shay","given":"Christopher F.","non-dropping-particle":"","parse-names":false,"suffix":""}],"container-title":"Frontiers in Systems Neuroscience","id":"ITEM-1","issue":"October","issued":{"date-parts":[["2014","10","31"]]},"page":"201","publisher":"Frontiers Media S.A.","title":"Grid cell firing patterns may arise from feedback interaction between intrinsic rebound spiking and transverse traveling waves with multiple heading angles","type":"article-journal","volume":"8"},"uris":["http://www.mendeley.com/documents/?uuid=37f8df72-091c-3c1b-a009-63e0c7750396"]},{"id":"ITEM-2","itemData":{"DOI":"10.1002/HIPO.20520","ISSN":"1098-1063","PMID":"19021261","abstract":"Individual medial entorhinal cortex (mEC) 'grid' cells provide a representation of space that appears to be essentially invariant across environments, modulo simple transformations, in contrast to multiple, rapidly acquired hippocampal maps; it may therefore be established gradually during rodent development. We explore with a simplified mathematical model the possibility that the self-organization of multiple grid fields into a triangular grid pattern may be a single-cell process, driven by firing rate adaptation and slowly varying spatial inputs. A simple analytical derivation indicates that triangular grids are favored asymptotic states of the self-organizing system, and computer simulations confirm that such states are indeed reached during a model learning process, provided it is sufficiently slow to effectively average out fluctuations. The interactions among local ensembles of grid units serve solely to stabilize a common grid orientation. Spatial information, in the real mEC network, may be provided by any combination of feed-forward cortical afferents and feedback hippocampal projections from place cells, since either input alone is likely sufficient to yield grid fields. © 2008 Wiley-Liss, Inc.","author":[{"dropping-particle":"","family":"Kropff","given":"Emilio","non-dropping-particle":"","parse-names":false,"suffix":""},{"dropping-particle":"","family":"Treves","given":"Alessandro","non-dropping-particle":"","parse-names":false,"suffix":""}],"container-title":"Hippocampus","id":"ITEM-2","issue":"12","issued":{"date-parts":[["2008","12"]]},"page":"1256-1269","publisher":"Hippocampus","title":"The emergence of grid cells: Intelligent design or just adaptation?","type":"article-journal","volume":"18"},"uris":["http://www.mendeley.com/documents/?uuid=a2d44329-9871-35c2-aa49-b51837335270"]}],"mendeley":{"formattedCitation":"(Hasselmo and Shay 2014; Kropff and Treves 2008)","plainTextFormattedCitation":"(Hasselmo and Shay 2014; Kropff and Treves 2008)","previouslyFormattedCitation":"(Hasselmo and Shay 2014; Kropff and Treves 2008)"},"properties":{"noteIndex":0},"schema":"https://github.com/citation-style-language/schema/raw/master/csl-citation.json"}</w:instrText>
      </w:r>
      <w:r w:rsidRPr="004C439F">
        <w:rPr>
          <w:b w:val="0"/>
          <w:bCs/>
        </w:rPr>
        <w:fldChar w:fldCharType="separate"/>
      </w:r>
      <w:r w:rsidRPr="004C439F">
        <w:rPr>
          <w:b w:val="0"/>
          <w:bCs/>
          <w:noProof/>
        </w:rPr>
        <w:t>(Hasselmo and Shay 2014; Kropff and Treves 2008)</w:t>
      </w:r>
      <w:r w:rsidRPr="004C439F">
        <w:rPr>
          <w:b w:val="0"/>
          <w:bCs/>
        </w:rPr>
        <w:fldChar w:fldCharType="end"/>
      </w:r>
      <w:r w:rsidRPr="004C439F">
        <w:rPr>
          <w:b w:val="0"/>
          <w:bCs/>
        </w:rPr>
        <w:t xml:space="preserve">. Note that the PI cell described in eqn. (2) is a </w:t>
      </w:r>
      <w:proofErr w:type="spellStart"/>
      <w:r w:rsidRPr="004C439F">
        <w:rPr>
          <w:b w:val="0"/>
          <w:bCs/>
        </w:rPr>
        <w:t>spatio</w:t>
      </w:r>
      <w:proofErr w:type="spellEnd"/>
      <w:r w:rsidRPr="004C439F">
        <w:rPr>
          <w:b w:val="0"/>
          <w:bCs/>
        </w:rPr>
        <w:t xml:space="preserve">-temporal model dependent explicitly on space, z, and on time, t. Such a model was successful in explaining certain temporal phenomena like phase precession </w:t>
      </w:r>
      <w:r w:rsidRPr="004C439F">
        <w:rPr>
          <w:b w:val="0"/>
          <w:bCs/>
        </w:rPr>
        <w:fldChar w:fldCharType="begin" w:fldLock="1"/>
      </w:r>
      <w:r w:rsidRPr="004C439F">
        <w:rPr>
          <w:b w:val="0"/>
          <w:bCs/>
        </w:rPr>
        <w:instrText>ADDIN CSL_CITATION {"citationItems":[{"id":"ITEM-1","itemData":{"DOI":"10.1109/TCDS.2017.2752369","ISSN":"2379-8920","author":[{"dropping-particle":"","family":"Soman","given":"Karthik","non-dropping-particle":"","parse-names":false,"suffix":""},{"dropping-particle":"","family":"Muralidharan","given":"Vignesh","non-dropping-particle":"","parse-names":false,"suffix":""},{"dropping-particle":"","family":"Chakravarthy","given":"V. Srinivasa","non-dropping-particle":"","parse-names":false,"suffix":""}],"container-title":"IEEE Transactions on Cognitive and Developmental Systems","id":"ITEM-1","issue":"3","issued":{"date-parts":[["2018","9"]]},"page":"637-646","title":"A Model of Multisensory Integration and Its Influence on Hippocampal Spatial Cell Responses","type":"article-journal","volume":"10"},"uris":["http://www.mendeley.com/documents/?uuid=1ff07558-86b9-4a81-9972-51e3623dc476","http://www.mendeley.com/documents/?uuid=346e852e-bf51-3fe5-83ab-5df7d42b9a49","http://www.mendeley.com/documents/?uuid=a320bd07-01d0-490f-a5fd-48f969c88100"]},{"id":"ITEM-2","itemData":{"DOI":"10.1111/EJN.13918","ISSN":"1460-9568","PMID":"29575125","abstract":"Spatial cells in the hippocampal complex play a pivotal role in the navigation of an animal. Exact neural principles behind these spatial cell responses have not been completely unraveled yet. Here we present two models for spatial cells, namely the Velocity Driven Oscillatory Network (VDON) and Locomotor Driven Oscillatory Network. Both models have basically three stages in common such as direction encoding stage, path integration (PI) stage, and a stage of unsupervised learning of PI values. In the first model, the following three stages are implemented: head direction layer, frequency modulation by a layer of oscillatory neurons, and an unsupervised stage that extracts the principal components from the oscillator outputs. In the second model, a refined version of the first model, the stages are extraction of velocity representation from the locomotor input, frequency modulation by a layer of oscillators, and two cascaded unsupervised stages consisting of the lateral anti-hebbian network. The principal component stage of VDON exhibits grid cell-like spatially periodic responses including hexagonal firing fields. Locomotor Driven Oscillatory Network shows the emergence of spatially periodic grid cells and periodically active border-like cells in its lower layer; place cell responses are found in its higher layer. This model shows the inheritance of phase precession from grid cell to place cell in both one- and two-dimensional spaces. It also shows a novel result on the influence of locomotion rhythms on the grid cell activity. The study thus presents a comprehensive, unifying hierarchical model for hippocampal spatial cells.","author":[{"dropping-particle":"","family":"Soman","given":"Karthik","non-dropping-particle":"","parse-names":false,"suffix":""},{"dropping-particle":"","family":"Muralidharan","given":"Vignesh","non-dropping-particle":"","parse-names":false,"suffix":""},{"dropping-particle":"","family":"Chakravarthy","given":"Vaddadi Srinivasa","non-dropping-particle":"","parse-names":false,"suffix":""}],"container-title":"European Journal of Neuroscience","id":"ITEM-2","issue":"10","issued":{"date-parts":[["2018","5","1"]]},"page":"1266-1281","publisher":"John Wiley &amp; Sons, Ltd","title":"A unified hierarchical oscillatory network model of head direction cells, spatially periodic cells, and place cells","type":"article-journal","volume":"47"},"uris":["http://www.mendeley.com/documents/?uuid=be1d7940-de1c-317c-878d-b3a9a2fc10b5"]}],"mendeley":{"formattedCitation":"(Soman, Muralidharan, and V. Srinivasa Chakravarthy 2018; Soman, Muralidharan, and Vaddadi Srinivasa Chakravarthy 2018)","manualFormatting":"(Soman, Muralidharan, and Chakravarthy 2018; Soman, Muralidharan, and Chakravarthy 2018)","plainTextFormattedCitation":"(Soman, Muralidharan, and V. Srinivasa Chakravarthy 2018; Soman, Muralidharan, and Vaddadi Srinivasa Chakravarthy 2018)","previouslyFormattedCitation":"(Soman, Muralidharan, and V. Srinivasa Chakravarthy 2018; Soman, Muralidharan, and Vaddadi Srinivasa Chakravarthy 2018)"},"properties":{"noteIndex":0},"schema":"https://github.com/citation-style-language/schema/raw/master/csl-citation.json"}</w:instrText>
      </w:r>
      <w:r w:rsidRPr="004C439F">
        <w:rPr>
          <w:b w:val="0"/>
          <w:bCs/>
        </w:rPr>
        <w:fldChar w:fldCharType="separate"/>
      </w:r>
      <w:r w:rsidRPr="004C439F">
        <w:rPr>
          <w:b w:val="0"/>
          <w:bCs/>
          <w:noProof/>
        </w:rPr>
        <w:t>(Soman, Muralidharan, and Chakravarthy 2018; Soman, Muralidharan, and Chakravarthy 2018)</w:t>
      </w:r>
      <w:r w:rsidRPr="004C439F">
        <w:rPr>
          <w:b w:val="0"/>
          <w:bCs/>
        </w:rPr>
        <w:fldChar w:fldCharType="end"/>
      </w:r>
      <w:r w:rsidRPr="004C439F">
        <w:rPr>
          <w:b w:val="0"/>
          <w:bCs/>
        </w:rPr>
        <w:t xml:space="preserve">. However, most spatial cells are described in purely spatial terms (e.g., place cells and grid cells), depicting their responses as exclusive functions of space. In the present study, we are interested in describing these purely spatial responses. Therefore, we convert the </w:t>
      </w:r>
      <w:proofErr w:type="spellStart"/>
      <w:r w:rsidRPr="004C439F">
        <w:rPr>
          <w:b w:val="0"/>
          <w:bCs/>
        </w:rPr>
        <w:t>spatio</w:t>
      </w:r>
      <w:proofErr w:type="spellEnd"/>
      <w:r w:rsidRPr="004C439F">
        <w:rPr>
          <w:b w:val="0"/>
          <w:bCs/>
        </w:rPr>
        <w:t>-temporal model of eqn. (2) into a purely spatial model by an averaging process described below.</w:t>
      </w:r>
    </w:p>
    <w:p w14:paraId="7FC2B460" w14:textId="77777777" w:rsidR="00A16733" w:rsidRPr="004C439F" w:rsidRDefault="00A16733" w:rsidP="00A16733">
      <w:pPr>
        <w:widowControl w:val="0"/>
        <w:autoSpaceDE w:val="0"/>
        <w:autoSpaceDN w:val="0"/>
        <w:adjustRightInd w:val="0"/>
        <w:spacing w:line="360" w:lineRule="auto"/>
        <w:jc w:val="both"/>
        <w:rPr>
          <w:b w:val="0"/>
          <w:bCs/>
        </w:rPr>
      </w:pPr>
    </w:p>
    <w:p w14:paraId="6B8ECF2B" w14:textId="77777777" w:rsidR="00A16733" w:rsidRPr="004C439F" w:rsidRDefault="00A16733" w:rsidP="00A16733">
      <w:pPr>
        <w:spacing w:line="360" w:lineRule="auto"/>
        <w:ind w:firstLine="0"/>
        <w:jc w:val="both"/>
        <w:rPr>
          <w:b w:val="0"/>
          <w:bCs/>
        </w:rPr>
      </w:pPr>
      <w:r w:rsidRPr="004C439F">
        <w:rPr>
          <w:b w:val="0"/>
          <w:bCs/>
        </w:rPr>
        <w:t>In order to eliminate temporal variation, a sin (</w:t>
      </w:r>
      <m:oMath>
        <m:r>
          <m:rPr>
            <m:sty m:val="bi"/>
          </m:rPr>
          <w:rPr>
            <w:rFonts w:ascii="Cambria Math" w:eastAsia="Cambria Math" w:hAnsi="Cambria Math" w:cs="Cambria Math"/>
          </w:rPr>
          <m:t>ωt</m:t>
        </m:r>
      </m:oMath>
      <w:r w:rsidRPr="004C439F">
        <w:rPr>
          <w:b w:val="0"/>
          <w:bCs/>
        </w:rPr>
        <w:t xml:space="preserve">) term is multiplied with the </w:t>
      </w:r>
      <m:oMath>
        <m:sSub>
          <m:sSubPr>
            <m:ctrlPr>
              <w:rPr>
                <w:rFonts w:ascii="Cambria Math" w:eastAsia="Cambria Math" w:hAnsi="Cambria Math" w:cs="Cambria Math"/>
                <w:b w:val="0"/>
                <w:bCs/>
              </w:rPr>
            </m:ctrlPr>
          </m:sSubPr>
          <m:e>
            <m:r>
              <m:rPr>
                <m:sty m:val="bi"/>
              </m:rPr>
              <w:rPr>
                <w:rFonts w:ascii="Cambria Math" w:eastAsia="Cambria Math" w:hAnsi="Cambria Math" w:cs="Cambria Math"/>
              </w:rPr>
              <m:t>PI</m:t>
            </m:r>
          </m:e>
          <m:sub>
            <m:sSub>
              <m:sSubPr>
                <m:ctrlPr>
                  <w:rPr>
                    <w:rFonts w:ascii="Cambria Math" w:eastAsia="Cambria Math" w:hAnsi="Cambria Math" w:cs="Cambria Math"/>
                    <w:b w:val="0"/>
                    <w:bCs/>
                  </w:rPr>
                </m:ctrlPr>
              </m:sSubPr>
              <m:e>
                <m:r>
                  <m:rPr>
                    <m:sty m:val="bi"/>
                  </m:rPr>
                  <w:rPr>
                    <w:rFonts w:ascii="Cambria Math" w:eastAsia="Cambria Math" w:hAnsi="Cambria Math" w:cs="Cambria Math"/>
                  </w:rPr>
                  <m:t>i</m:t>
                </m:r>
              </m:e>
              <m:sub>
                <m:r>
                  <m:rPr>
                    <m:sty m:val="bi"/>
                  </m:rPr>
                  <w:rPr>
                    <w:rFonts w:ascii="Cambria Math" w:eastAsia="Cambria Math" w:hAnsi="Cambria Math" w:cs="Cambria Math"/>
                  </w:rPr>
                  <m:t>fm</m:t>
                </m:r>
              </m:sub>
            </m:sSub>
          </m:sub>
        </m:sSub>
      </m:oMath>
      <w:r w:rsidRPr="004C439F">
        <w:rPr>
          <w:b w:val="0"/>
          <w:bCs/>
        </w:rPr>
        <w:t xml:space="preserve"> shown in eqn. 2, and passed through a low pass filter which blocks the high frequency signals as shown in eqn. 3 and eqn. 4.</w:t>
      </w:r>
    </w:p>
    <w:p w14:paraId="60AE8E0B" w14:textId="77777777" w:rsidR="00A16733" w:rsidRPr="004C439F" w:rsidRDefault="00A16733" w:rsidP="00A16733">
      <w:pPr>
        <w:spacing w:line="360" w:lineRule="auto"/>
        <w:ind w:left="2160" w:firstLine="720"/>
        <w:jc w:val="both"/>
        <w:rPr>
          <w:b w:val="0"/>
          <w:bCs/>
        </w:rPr>
      </w:pPr>
      <m:oMath>
        <m:r>
          <m:rPr>
            <m:sty m:val="bi"/>
          </m:rPr>
          <w:rPr>
            <w:rFonts w:ascii="Cambria Math" w:eastAsia="Cambria Math" w:hAnsi="Cambria Math" w:cs="Cambria Math"/>
          </w:rPr>
          <m:t>P</m:t>
        </m:r>
        <m:sSub>
          <m:sSubPr>
            <m:ctrlPr>
              <w:rPr>
                <w:rFonts w:ascii="Cambria Math" w:eastAsia="Cambria Math" w:hAnsi="Cambria Math" w:cs="Cambria Math"/>
                <w:b w:val="0"/>
                <w:bCs/>
                <w:i/>
              </w:rPr>
            </m:ctrlPr>
          </m:sSubPr>
          <m:e>
            <m:r>
              <m:rPr>
                <m:sty m:val="bi"/>
              </m:rPr>
              <w:rPr>
                <w:rFonts w:ascii="Cambria Math" w:eastAsia="Cambria Math" w:hAnsi="Cambria Math" w:cs="Cambria Math"/>
              </w:rPr>
              <m:t>I</m:t>
            </m:r>
          </m:e>
          <m:sub>
            <m:r>
              <m:rPr>
                <m:sty m:val="bi"/>
              </m:rPr>
              <w:rPr>
                <w:rFonts w:ascii="Cambria Math" w:eastAsia="Cambria Math" w:hAnsi="Cambria Math" w:cs="Cambria Math"/>
              </w:rPr>
              <m:t>i</m:t>
            </m:r>
          </m:sub>
        </m:sSub>
        <m:r>
          <m:rPr>
            <m:sty m:val="bi"/>
          </m:rPr>
          <w:rPr>
            <w:rFonts w:ascii="Cambria Math" w:eastAsia="Cambria Math" w:hAnsi="Cambria Math" w:cs="Cambria Math"/>
          </w:rPr>
          <m:t>=sin</m:t>
        </m:r>
        <m:d>
          <m:dPr>
            <m:ctrlPr>
              <w:rPr>
                <w:rFonts w:ascii="Cambria Math" w:eastAsia="Cambria Math" w:hAnsi="Cambria Math" w:cs="Cambria Math"/>
                <w:b w:val="0"/>
                <w:bCs/>
                <w:i/>
              </w:rPr>
            </m:ctrlPr>
          </m:dPr>
          <m:e>
            <m:r>
              <m:rPr>
                <m:sty m:val="bi"/>
              </m:rPr>
              <w:rPr>
                <w:rFonts w:ascii="Cambria Math" w:eastAsia="Cambria Math" w:hAnsi="Cambria Math" w:cs="Cambria Math"/>
              </w:rPr>
              <m:t>ωt</m:t>
            </m:r>
          </m:e>
        </m:d>
        <m:r>
          <m:rPr>
            <m:sty m:val="bi"/>
          </m:rPr>
          <w:rPr>
            <w:rFonts w:ascii="Cambria Math" w:eastAsia="Cambria Math" w:hAnsi="Cambria Math" w:cs="Cambria Math"/>
          </w:rPr>
          <m:t xml:space="preserve"> sin</m:t>
        </m:r>
        <m:d>
          <m:dPr>
            <m:begChr m:val="["/>
            <m:endChr m:val="]"/>
            <m:ctrlPr>
              <w:rPr>
                <w:rFonts w:ascii="Cambria Math" w:eastAsia="Cambria Math" w:hAnsi="Cambria Math" w:cs="Cambria Math"/>
                <w:b w:val="0"/>
                <w:bCs/>
                <w:i/>
              </w:rPr>
            </m:ctrlPr>
          </m:dPr>
          <m:e>
            <m:r>
              <m:rPr>
                <m:sty m:val="bi"/>
              </m:rPr>
              <w:rPr>
                <w:rFonts w:ascii="Cambria Math" w:eastAsia="Cambria Math" w:hAnsi="Cambria Math" w:cs="Cambria Math"/>
              </w:rPr>
              <m:t>ωt+βz.</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e>
        </m:d>
      </m:oMath>
      <w:r w:rsidRPr="004C439F">
        <w:rPr>
          <w:rFonts w:ascii="Cambria Math" w:eastAsia="Cambria Math" w:hAnsi="Cambria Math" w:cs="Cambria Math"/>
          <w:b w:val="0"/>
          <w:bCs/>
        </w:rPr>
        <w:t xml:space="preserve">                                                                        (3)</w:t>
      </w:r>
    </w:p>
    <w:p w14:paraId="238C2BB7" w14:textId="77777777" w:rsidR="00A16733" w:rsidRPr="004C439F" w:rsidRDefault="00A16733" w:rsidP="00A16733">
      <w:pPr>
        <w:spacing w:line="360" w:lineRule="auto"/>
        <w:ind w:left="2160" w:firstLine="720"/>
        <w:jc w:val="both"/>
        <w:rPr>
          <w:b w:val="0"/>
          <w:bCs/>
        </w:rPr>
      </w:pPr>
      <m:oMath>
        <m:r>
          <m:rPr>
            <m:sty m:val="bi"/>
          </m:rPr>
          <w:rPr>
            <w:rFonts w:ascii="Cambria Math" w:eastAsia="Cambria Math" w:hAnsi="Cambria Math" w:cs="Cambria Math"/>
          </w:rPr>
          <m:t>P</m:t>
        </m:r>
        <m:sSub>
          <m:sSubPr>
            <m:ctrlPr>
              <w:rPr>
                <w:rFonts w:ascii="Cambria Math" w:eastAsia="Cambria Math" w:hAnsi="Cambria Math" w:cs="Cambria Math"/>
                <w:b w:val="0"/>
                <w:bCs/>
                <w:i/>
              </w:rPr>
            </m:ctrlPr>
          </m:sSubPr>
          <m:e>
            <m:r>
              <m:rPr>
                <m:sty m:val="bi"/>
              </m:rPr>
              <w:rPr>
                <w:rFonts w:ascii="Cambria Math" w:eastAsia="Cambria Math" w:hAnsi="Cambria Math" w:cs="Cambria Math"/>
              </w:rPr>
              <m:t>I</m:t>
            </m:r>
          </m:e>
          <m:sub>
            <m:r>
              <m:rPr>
                <m:sty m:val="bi"/>
              </m:rPr>
              <w:rPr>
                <w:rFonts w:ascii="Cambria Math" w:eastAsia="Cambria Math" w:hAnsi="Cambria Math" w:cs="Cambria Math"/>
              </w:rPr>
              <m:t>i</m:t>
            </m:r>
          </m:sub>
        </m:sSub>
        <m:r>
          <m:rPr>
            <m:sty m:val="bi"/>
          </m:rPr>
          <w:rPr>
            <w:rFonts w:ascii="Cambria Math" w:eastAsia="Cambria Math" w:hAnsi="Cambria Math" w:cs="Cambria Math"/>
          </w:rPr>
          <m:t>=cos</m:t>
        </m:r>
        <m:d>
          <m:dPr>
            <m:ctrlPr>
              <w:rPr>
                <w:rFonts w:ascii="Cambria Math" w:eastAsia="Cambria Math" w:hAnsi="Cambria Math" w:cs="Cambria Math"/>
                <w:b w:val="0"/>
                <w:bCs/>
              </w:rPr>
            </m:ctrlPr>
          </m:dPr>
          <m:e>
            <m:r>
              <m:rPr>
                <m:sty m:val="bi"/>
              </m:rPr>
              <w:rPr>
                <w:rFonts w:ascii="Cambria Math" w:eastAsia="Cambria Math" w:hAnsi="Cambria Math" w:cs="Cambria Math"/>
              </w:rPr>
              <m:t xml:space="preserve"> βz.</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e>
        </m:d>
        <m:r>
          <m:rPr>
            <m:sty m:val="bi"/>
          </m:rPr>
          <w:rPr>
            <w:rFonts w:ascii="Cambria Math" w:eastAsia="Cambria Math" w:hAnsi="Cambria Math" w:cs="Cambria Math"/>
          </w:rPr>
          <m:t>-cos⁡(2</m:t>
        </m:r>
        <m:r>
          <m:rPr>
            <m:sty m:val="bi"/>
          </m:rPr>
          <w:rPr>
            <w:rFonts w:ascii="Cambria Math" w:eastAsia="Cambria Math" w:hAnsi="Cambria Math" w:cs="Cambria Math"/>
          </w:rPr>
          <m:t>ωt+</m:t>
        </m:r>
      </m:oMath>
      <w:r w:rsidRPr="004C439F">
        <w:rPr>
          <w:b w:val="0"/>
          <w:bCs/>
        </w:rPr>
        <w:t xml:space="preserve"> </w:t>
      </w:r>
      <m:oMath>
        <m:r>
          <m:rPr>
            <m:sty m:val="bi"/>
          </m:rPr>
          <w:rPr>
            <w:rFonts w:ascii="Cambria Math" w:eastAsia="Cambria Math" w:hAnsi="Cambria Math" w:cs="Cambria Math"/>
          </w:rPr>
          <m:t>βz.</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oMath>
      <w:r w:rsidRPr="004C439F">
        <w:rPr>
          <w:b w:val="0"/>
          <w:bCs/>
        </w:rPr>
        <w:t xml:space="preserve">)                                                        </w:t>
      </w:r>
    </w:p>
    <w:p w14:paraId="5375DEA6" w14:textId="77777777" w:rsidR="00A16733" w:rsidRPr="004C439F" w:rsidRDefault="00A16733" w:rsidP="00A16733">
      <w:pPr>
        <w:spacing w:line="360" w:lineRule="auto"/>
        <w:ind w:firstLine="0"/>
        <w:jc w:val="both"/>
        <w:rPr>
          <w:b w:val="0"/>
          <w:bCs/>
        </w:rPr>
      </w:pPr>
      <w:r w:rsidRPr="004C439F">
        <w:rPr>
          <w:b w:val="0"/>
          <w:bCs/>
        </w:rPr>
        <w:t xml:space="preserve">After eliminating the high frequency term, we have, </w:t>
      </w:r>
    </w:p>
    <w:p w14:paraId="6BEB77F8" w14:textId="77777777" w:rsidR="00A16733" w:rsidRDefault="00A16733" w:rsidP="00A16733">
      <w:pPr>
        <w:spacing w:line="360" w:lineRule="auto"/>
        <w:ind w:firstLine="0"/>
        <w:jc w:val="both"/>
      </w:pPr>
      <w:r w:rsidRPr="004C439F">
        <w:rPr>
          <w:b w:val="0"/>
          <w:bCs/>
        </w:rPr>
        <w:t xml:space="preserve">       </w:t>
      </w:r>
      <w:r w:rsidRPr="004C439F">
        <w:rPr>
          <w:b w:val="0"/>
          <w:bCs/>
        </w:rPr>
        <w:tab/>
      </w:r>
      <w:r w:rsidRPr="004C439F">
        <w:rPr>
          <w:b w:val="0"/>
          <w:bCs/>
        </w:rPr>
        <w:tab/>
        <w:t xml:space="preserve">            </w:t>
      </w:r>
      <m:oMath>
        <m:r>
          <m:rPr>
            <m:sty m:val="bi"/>
          </m:rPr>
          <w:rPr>
            <w:rFonts w:ascii="Cambria Math" w:eastAsia="Cambria Math" w:hAnsi="Cambria Math" w:cs="Cambria Math"/>
          </w:rPr>
          <m:t>P</m:t>
        </m:r>
        <m:sSub>
          <m:sSubPr>
            <m:ctrlPr>
              <w:rPr>
                <w:rFonts w:ascii="Cambria Math" w:eastAsia="Cambria Math" w:hAnsi="Cambria Math" w:cs="Cambria Math"/>
                <w:b w:val="0"/>
                <w:bCs/>
                <w:i/>
              </w:rPr>
            </m:ctrlPr>
          </m:sSubPr>
          <m:e>
            <m:r>
              <m:rPr>
                <m:sty m:val="bi"/>
              </m:rPr>
              <w:rPr>
                <w:rFonts w:ascii="Cambria Math" w:eastAsia="Cambria Math" w:hAnsi="Cambria Math" w:cs="Cambria Math"/>
              </w:rPr>
              <m:t>I</m:t>
            </m:r>
          </m:e>
          <m:sub>
            <m:r>
              <m:rPr>
                <m:sty m:val="bi"/>
              </m:rPr>
              <w:rPr>
                <w:rFonts w:ascii="Cambria Math" w:eastAsia="Cambria Math" w:hAnsi="Cambria Math" w:cs="Cambria Math"/>
              </w:rPr>
              <m:t>i</m:t>
            </m:r>
          </m:sub>
        </m:sSub>
        <m:r>
          <m:rPr>
            <m:sty m:val="bi"/>
          </m:rPr>
          <w:rPr>
            <w:rFonts w:ascii="Cambria Math" w:eastAsia="Cambria Math" w:hAnsi="Cambria Math" w:cs="Cambria Math"/>
          </w:rPr>
          <m:t>≈</m:t>
        </m:r>
        <m:box>
          <m:boxPr>
            <m:opEmu m:val="1"/>
            <m:ctrlPr>
              <w:rPr>
                <w:rFonts w:ascii="Cambria Math" w:eastAsia="Cambria Math" w:hAnsi="Cambria Math" w:cs="Cambria Math"/>
                <w:b w:val="0"/>
                <w:bCs/>
              </w:rPr>
            </m:ctrlPr>
          </m:boxPr>
          <m:e>
            <m:r>
              <m:rPr>
                <m:sty m:val="bi"/>
              </m:rPr>
              <w:rPr>
                <w:rFonts w:ascii="Cambria Math" w:eastAsia="Cambria Math" w:hAnsi="Cambria Math" w:cs="Cambria Math"/>
              </w:rPr>
              <m:t xml:space="preserve"> cos</m:t>
            </m:r>
          </m:e>
        </m:box>
        <m:d>
          <m:dPr>
            <m:ctrlPr>
              <w:rPr>
                <w:rFonts w:ascii="Cambria Math" w:eastAsia="Cambria Math" w:hAnsi="Cambria Math" w:cs="Cambria Math"/>
                <w:b w:val="0"/>
                <w:bCs/>
              </w:rPr>
            </m:ctrlPr>
          </m:dPr>
          <m:e>
            <m:r>
              <m:rPr>
                <m:sty m:val="bi"/>
              </m:rPr>
              <w:rPr>
                <w:rFonts w:ascii="Cambria Math" w:eastAsia="Cambria Math" w:hAnsi="Cambria Math" w:cs="Cambria Math"/>
              </w:rPr>
              <m:t>βz.</m:t>
            </m:r>
            <m:sSub>
              <m:sSubPr>
                <m:ctrlPr>
                  <w:rPr>
                    <w:rFonts w:ascii="Cambria Math" w:eastAsia="Cambria Math" w:hAnsi="Cambria Math" w:cs="Cambria Math"/>
                    <w:b w:val="0"/>
                    <w:bCs/>
                  </w:rPr>
                </m:ctrlPr>
              </m:sSubPr>
              <m:e>
                <m:r>
                  <m:rPr>
                    <m:sty m:val="bi"/>
                  </m:rPr>
                  <w:rPr>
                    <w:rFonts w:ascii="Cambria Math" w:eastAsia="Cambria Math" w:hAnsi="Cambria Math" w:cs="Cambria Math"/>
                  </w:rPr>
                  <m:t>u</m:t>
                </m:r>
              </m:e>
              <m:sub>
                <m:r>
                  <m:rPr>
                    <m:sty m:val="bi"/>
                  </m:rPr>
                  <w:rPr>
                    <w:rFonts w:ascii="Cambria Math" w:eastAsia="Cambria Math" w:hAnsi="Cambria Math" w:cs="Cambria Math"/>
                  </w:rPr>
                  <m:t>i</m:t>
                </m:r>
              </m:sub>
            </m:sSub>
          </m:e>
        </m:d>
      </m:oMath>
      <w:r w:rsidRPr="003E67A4">
        <w:rPr>
          <w:b w:val="0"/>
          <w:bCs/>
        </w:rPr>
        <w:t xml:space="preserve">           </w:t>
      </w:r>
      <w:r w:rsidRPr="003247E3">
        <w:rPr>
          <w:b w:val="0"/>
          <w:bCs/>
        </w:rPr>
        <w:t xml:space="preserve">         </w:t>
      </w:r>
      <w:r w:rsidRPr="008D1E76">
        <w:t xml:space="preserve">                                            </w:t>
      </w:r>
      <w:r>
        <w:t xml:space="preserve">         </w:t>
      </w:r>
      <w:r w:rsidRPr="003247E3">
        <w:rPr>
          <w:b w:val="0"/>
          <w:bCs/>
        </w:rPr>
        <w:t>(</w:t>
      </w:r>
      <w:r>
        <w:rPr>
          <w:b w:val="0"/>
          <w:bCs/>
        </w:rPr>
        <w:t>4</w:t>
      </w:r>
      <w:r w:rsidRPr="003247E3">
        <w:rPr>
          <w:b w:val="0"/>
          <w:bCs/>
        </w:rPr>
        <w:t>)</w:t>
      </w:r>
      <w:r w:rsidRPr="008D1E76">
        <w:t xml:space="preserve">      </w:t>
      </w:r>
    </w:p>
    <w:p w14:paraId="615BC79C" w14:textId="436653FD" w:rsidR="00A16733" w:rsidRPr="00A16733" w:rsidRDefault="00A16733" w:rsidP="00A16733">
      <w:pPr>
        <w:spacing w:line="360" w:lineRule="auto"/>
        <w:jc w:val="both"/>
        <w:rPr>
          <w:b w:val="0"/>
          <w:bCs/>
        </w:rPr>
      </w:pPr>
    </w:p>
    <w:p w14:paraId="5A616545" w14:textId="77777777" w:rsidR="00A16733" w:rsidRDefault="00A16733" w:rsidP="00A16733">
      <w:pPr>
        <w:pStyle w:val="ListParagraph"/>
        <w:numPr>
          <w:ilvl w:val="0"/>
          <w:numId w:val="1"/>
        </w:numPr>
        <w:spacing w:line="360" w:lineRule="auto"/>
        <w:jc w:val="both"/>
      </w:pPr>
      <w:r>
        <w:t>Grid cell distributions:</w:t>
      </w:r>
      <w:r w:rsidR="003E67A4" w:rsidRPr="008D1E76">
        <w:t xml:space="preserve"> </w:t>
      </w:r>
    </w:p>
    <w:p w14:paraId="015D128D" w14:textId="0E281757" w:rsidR="00B90F47" w:rsidRDefault="00A16733" w:rsidP="00A16733">
      <w:pPr>
        <w:spacing w:line="360" w:lineRule="auto"/>
        <w:ind w:left="360" w:firstLine="0"/>
        <w:jc w:val="both"/>
      </w:pPr>
      <w:r>
        <w:rPr>
          <w:noProof/>
        </w:rPr>
        <w:lastRenderedPageBreak/>
        <w:drawing>
          <wp:inline distT="0" distB="0" distL="0" distR="0" wp14:anchorId="331419A8" wp14:editId="79BE1597">
            <wp:extent cx="5943600" cy="466153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661535"/>
                    </a:xfrm>
                    <a:prstGeom prst="rect">
                      <a:avLst/>
                    </a:prstGeom>
                  </pic:spPr>
                </pic:pic>
              </a:graphicData>
            </a:graphic>
          </wp:inline>
        </w:drawing>
      </w:r>
      <w:r w:rsidR="003E67A4" w:rsidRPr="008D1E76">
        <w:t xml:space="preserve">                  </w:t>
      </w:r>
      <w:bookmarkEnd w:id="0"/>
      <w:r w:rsidR="00B90F47">
        <w:t xml:space="preserve"> </w:t>
      </w:r>
    </w:p>
    <w:p w14:paraId="3859D37A" w14:textId="05232060" w:rsidR="003D5177" w:rsidRPr="004C439F" w:rsidRDefault="00A16733" w:rsidP="00B521A3">
      <w:pPr>
        <w:spacing w:line="360" w:lineRule="auto"/>
        <w:ind w:firstLine="0"/>
        <w:jc w:val="both"/>
      </w:pPr>
      <w:r w:rsidRPr="00B521A3">
        <w:rPr>
          <w:b w:val="0"/>
          <w:bCs/>
          <w:i/>
          <w:iCs/>
        </w:rPr>
        <w:t xml:space="preserve">Figure S7: </w:t>
      </w:r>
      <w:r w:rsidR="007F12DE" w:rsidRPr="00B521A3">
        <w:rPr>
          <w:b w:val="0"/>
          <w:bCs/>
          <w:i/>
          <w:iCs/>
        </w:rPr>
        <w:t xml:space="preserve">Distribution of </w:t>
      </w:r>
      <w:r w:rsidR="007E0062" w:rsidRPr="00B521A3">
        <w:rPr>
          <w:b w:val="0"/>
          <w:bCs/>
          <w:i/>
          <w:iCs/>
        </w:rPr>
        <w:t xml:space="preserve">50 neurons in </w:t>
      </w:r>
      <w:r w:rsidR="00E5261C" w:rsidRPr="00B521A3">
        <w:rPr>
          <w:b w:val="0"/>
          <w:bCs/>
          <w:i/>
          <w:iCs/>
        </w:rPr>
        <w:t>their respective categories.</w:t>
      </w:r>
      <w:r w:rsidR="008C0409" w:rsidRPr="00B521A3">
        <w:rPr>
          <w:b w:val="0"/>
          <w:bCs/>
          <w:i/>
          <w:iCs/>
        </w:rPr>
        <w:t xml:space="preserve"> 2</w:t>
      </w:r>
      <w:r w:rsidR="008C0409" w:rsidRPr="00B521A3">
        <w:rPr>
          <w:b w:val="0"/>
          <w:bCs/>
          <w:i/>
          <w:iCs/>
          <w:vertAlign w:val="superscript"/>
        </w:rPr>
        <w:t>nd</w:t>
      </w:r>
      <w:r w:rsidR="008C0409" w:rsidRPr="00B521A3">
        <w:rPr>
          <w:b w:val="0"/>
          <w:bCs/>
          <w:i/>
          <w:iCs/>
        </w:rPr>
        <w:t xml:space="preserve"> and 4</w:t>
      </w:r>
      <w:r w:rsidR="008C0409" w:rsidRPr="00B521A3">
        <w:rPr>
          <w:b w:val="0"/>
          <w:bCs/>
          <w:i/>
          <w:iCs/>
          <w:vertAlign w:val="superscript"/>
        </w:rPr>
        <w:t>th</w:t>
      </w:r>
      <w:r w:rsidR="008C0409" w:rsidRPr="00B521A3">
        <w:rPr>
          <w:b w:val="0"/>
          <w:bCs/>
          <w:i/>
          <w:iCs/>
        </w:rPr>
        <w:t xml:space="preserve"> quadrants account for </w:t>
      </w:r>
      <w:r w:rsidR="00854716" w:rsidRPr="00B521A3">
        <w:rPr>
          <w:b w:val="0"/>
          <w:bCs/>
          <w:i/>
          <w:iCs/>
        </w:rPr>
        <w:t>square grid cells and hexagonal grid cells, although,</w:t>
      </w:r>
      <w:r w:rsidR="00746F1E" w:rsidRPr="00B521A3">
        <w:rPr>
          <w:b w:val="0"/>
          <w:bCs/>
          <w:i/>
          <w:iCs/>
        </w:rPr>
        <w:t xml:space="preserve"> neurons with hexagonal grid scores &gt; 0.3 are </w:t>
      </w:r>
      <w:r w:rsidR="00F55E33" w:rsidRPr="00B521A3">
        <w:rPr>
          <w:b w:val="0"/>
          <w:bCs/>
          <w:i/>
          <w:iCs/>
        </w:rPr>
        <w:t>considered as hexagonal grid cells.</w:t>
      </w:r>
      <w:r w:rsidR="00E5261C" w:rsidRPr="00B521A3">
        <w:rPr>
          <w:b w:val="0"/>
          <w:bCs/>
          <w:i/>
          <w:iCs/>
        </w:rPr>
        <w:t xml:space="preserve"> </w:t>
      </w:r>
      <w:r w:rsidR="003E67A4" w:rsidRPr="00B521A3">
        <w:rPr>
          <w:b w:val="0"/>
          <w:bCs/>
          <w:i/>
          <w:iCs/>
        </w:rPr>
        <w:t xml:space="preserve"> </w:t>
      </w:r>
      <w:r w:rsidR="00E5261C" w:rsidRPr="00B521A3">
        <w:rPr>
          <w:b w:val="0"/>
          <w:bCs/>
          <w:i/>
          <w:iCs/>
        </w:rPr>
        <w:t xml:space="preserve">A) </w:t>
      </w:r>
      <w:r w:rsidR="002706C9" w:rsidRPr="00B521A3">
        <w:rPr>
          <w:b w:val="0"/>
          <w:bCs/>
          <w:i/>
          <w:iCs/>
        </w:rPr>
        <w:t xml:space="preserve">shows for aligned lattice maze, B) shows for tilted lattice maze, C) shows for helix and D) shows for </w:t>
      </w:r>
      <w:r w:rsidR="00B521A3" w:rsidRPr="00B521A3">
        <w:rPr>
          <w:b w:val="0"/>
          <w:bCs/>
          <w:i/>
          <w:iCs/>
        </w:rPr>
        <w:t>pegboard</w:t>
      </w:r>
      <w:r w:rsidR="00B521A3">
        <w:rPr>
          <w:b w:val="0"/>
          <w:bCs/>
        </w:rPr>
        <w:t>.</w:t>
      </w:r>
    </w:p>
    <w:p w14:paraId="6912BFCB" w14:textId="77777777" w:rsidR="003D5177" w:rsidRDefault="003D5177" w:rsidP="003247E3">
      <w:pPr>
        <w:spacing w:line="360" w:lineRule="auto"/>
        <w:ind w:firstLine="0"/>
        <w:jc w:val="both"/>
        <w:rPr>
          <w:b w:val="0"/>
        </w:rPr>
      </w:pPr>
    </w:p>
    <w:p w14:paraId="0F54ABBC" w14:textId="73B0ACDE" w:rsidR="003D5177" w:rsidRDefault="00331820" w:rsidP="003247E3">
      <w:pPr>
        <w:spacing w:line="360" w:lineRule="auto"/>
        <w:ind w:left="0" w:firstLine="0"/>
        <w:jc w:val="both"/>
        <w:rPr>
          <w:bCs/>
        </w:rPr>
      </w:pPr>
      <w:r w:rsidRPr="00331820">
        <w:rPr>
          <w:bCs/>
        </w:rPr>
        <w:t>References</w:t>
      </w:r>
    </w:p>
    <w:p w14:paraId="0C0AE508" w14:textId="116DDBFA"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rPr>
        <w:fldChar w:fldCharType="begin" w:fldLock="1"/>
      </w:r>
      <w:r w:rsidRPr="00550699">
        <w:rPr>
          <w:b w:val="0"/>
        </w:rPr>
        <w:instrText xml:space="preserve">ADDIN Mendeley Bibliography CSL_BIBLIOGRAPHY </w:instrText>
      </w:r>
      <w:r w:rsidRPr="00550699">
        <w:rPr>
          <w:b w:val="0"/>
        </w:rPr>
        <w:fldChar w:fldCharType="separate"/>
      </w:r>
      <w:r w:rsidRPr="00550699">
        <w:rPr>
          <w:b w:val="0"/>
          <w:noProof/>
        </w:rPr>
        <w:t xml:space="preserve">Burgess, Neil, Caswell Barry, and John O’Keefe. 2007. “An Oscillatory Interference Model of Grid Cell Firing.” </w:t>
      </w:r>
      <w:r w:rsidRPr="00550699">
        <w:rPr>
          <w:b w:val="0"/>
          <w:i/>
          <w:iCs/>
          <w:noProof/>
        </w:rPr>
        <w:t>Hippocampus</w:t>
      </w:r>
      <w:r w:rsidRPr="00550699">
        <w:rPr>
          <w:b w:val="0"/>
          <w:noProof/>
        </w:rPr>
        <w:t xml:space="preserve"> 17(9):801–12.</w:t>
      </w:r>
    </w:p>
    <w:p w14:paraId="1901204D"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t xml:space="preserve">Geisler, Caroline, David Robbe, Michaël Zugaro, Anton Sirota, and György Buzsáki. 2007. “Hippocampal Place Cell Assemblies Are Speed-Controlled Oscillators.” </w:t>
      </w:r>
      <w:r w:rsidRPr="00550699">
        <w:rPr>
          <w:b w:val="0"/>
          <w:i/>
          <w:iCs/>
          <w:noProof/>
        </w:rPr>
        <w:t>Proceedings of the National Academy of Sciences of the United States of America</w:t>
      </w:r>
      <w:r w:rsidRPr="00550699">
        <w:rPr>
          <w:b w:val="0"/>
          <w:noProof/>
        </w:rPr>
        <w:t xml:space="preserve"> 104(19):8149–54.</w:t>
      </w:r>
    </w:p>
    <w:p w14:paraId="5B40ECE2"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t xml:space="preserve">Grieves, Roddy M., Selim Jedidi-Ayoub, Karyna Mishchanchuk, Anyi Liu, Sophie Renaudineau, and Kate J. Jeffery. 2020. “The Place-Cell Representation of Volumetric Space in Rats.” </w:t>
      </w:r>
      <w:r w:rsidRPr="00550699">
        <w:rPr>
          <w:b w:val="0"/>
          <w:i/>
          <w:iCs/>
          <w:noProof/>
        </w:rPr>
        <w:t>Nature Communications 2020 11:1</w:t>
      </w:r>
      <w:r w:rsidRPr="00550699">
        <w:rPr>
          <w:b w:val="0"/>
          <w:noProof/>
        </w:rPr>
        <w:t xml:space="preserve"> 11(1):1–13.</w:t>
      </w:r>
    </w:p>
    <w:p w14:paraId="64CC7BCE"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lastRenderedPageBreak/>
        <w:t xml:space="preserve">Hasselmo, Michael E., and Christopher F. Shay. 2014. “Grid Cell Firing Patterns May Arise from Feedback Interaction between Intrinsic Rebound Spiking and Transverse Traveling Waves with Multiple Heading Angles.” </w:t>
      </w:r>
      <w:r w:rsidRPr="00550699">
        <w:rPr>
          <w:b w:val="0"/>
          <w:i/>
          <w:iCs/>
          <w:noProof/>
        </w:rPr>
        <w:t>Frontiers in Systems Neuroscience</w:t>
      </w:r>
      <w:r w:rsidRPr="00550699">
        <w:rPr>
          <w:b w:val="0"/>
          <w:noProof/>
        </w:rPr>
        <w:t xml:space="preserve"> 8(October):201.</w:t>
      </w:r>
    </w:p>
    <w:p w14:paraId="13B688A5"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t xml:space="preserve">Kropff, Emilio, and Alessandro Treves. 2008. “The Emergence of Grid Cells: Intelligent Design or Just Adaptation?” </w:t>
      </w:r>
      <w:r w:rsidRPr="00550699">
        <w:rPr>
          <w:b w:val="0"/>
          <w:i/>
          <w:iCs/>
          <w:noProof/>
        </w:rPr>
        <w:t>Hippocampus</w:t>
      </w:r>
      <w:r w:rsidRPr="00550699">
        <w:rPr>
          <w:b w:val="0"/>
          <w:noProof/>
        </w:rPr>
        <w:t xml:space="preserve"> 18(12):1256–69.</w:t>
      </w:r>
    </w:p>
    <w:p w14:paraId="5CA4F09D"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t xml:space="preserve">Soman, Karthik, Vignesh Muralidharan, and V. Srinivasa Chakravarthy. 2018. “A Model of Multisensory Integration and Its Influence on Hippocampal Spatial Cell Responses.” </w:t>
      </w:r>
      <w:r w:rsidRPr="00550699">
        <w:rPr>
          <w:b w:val="0"/>
          <w:i/>
          <w:iCs/>
          <w:noProof/>
        </w:rPr>
        <w:t>IEEE Transactions on Cognitive and Developmental Systems</w:t>
      </w:r>
      <w:r w:rsidRPr="00550699">
        <w:rPr>
          <w:b w:val="0"/>
          <w:noProof/>
        </w:rPr>
        <w:t xml:space="preserve"> 10(3):637–46.</w:t>
      </w:r>
    </w:p>
    <w:p w14:paraId="3EAFAC99" w14:textId="77777777" w:rsidR="00550699" w:rsidRPr="00550699" w:rsidRDefault="00550699" w:rsidP="00550699">
      <w:pPr>
        <w:widowControl w:val="0"/>
        <w:autoSpaceDE w:val="0"/>
        <w:autoSpaceDN w:val="0"/>
        <w:adjustRightInd w:val="0"/>
        <w:spacing w:line="360" w:lineRule="auto"/>
        <w:ind w:left="480" w:hanging="480"/>
        <w:rPr>
          <w:b w:val="0"/>
          <w:noProof/>
        </w:rPr>
      </w:pPr>
      <w:r w:rsidRPr="00550699">
        <w:rPr>
          <w:b w:val="0"/>
          <w:noProof/>
        </w:rPr>
        <w:t xml:space="preserve">Soman, Karthik, Vignesh Muralidharan, and Vaddadi Srinivasa Chakravarthy. 2018. “A Unified Hierarchical Oscillatory Network Model of Head Direction Cells, Spatially Periodic Cells, and Place Cells.” </w:t>
      </w:r>
      <w:r w:rsidRPr="00550699">
        <w:rPr>
          <w:b w:val="0"/>
          <w:i/>
          <w:iCs/>
          <w:noProof/>
        </w:rPr>
        <w:t>European Journal of Neuroscience</w:t>
      </w:r>
      <w:r w:rsidRPr="00550699">
        <w:rPr>
          <w:b w:val="0"/>
          <w:noProof/>
        </w:rPr>
        <w:t xml:space="preserve"> 47(10):1266–81.</w:t>
      </w:r>
    </w:p>
    <w:p w14:paraId="417F6FBD" w14:textId="65B5FB12" w:rsidR="008C2826" w:rsidRPr="00550699" w:rsidRDefault="00550699" w:rsidP="003247E3">
      <w:pPr>
        <w:spacing w:line="360" w:lineRule="auto"/>
        <w:ind w:left="0" w:firstLine="0"/>
        <w:jc w:val="both"/>
        <w:rPr>
          <w:b w:val="0"/>
        </w:rPr>
      </w:pPr>
      <w:r w:rsidRPr="00550699">
        <w:rPr>
          <w:b w:val="0"/>
        </w:rPr>
        <w:fldChar w:fldCharType="end"/>
      </w:r>
    </w:p>
    <w:p w14:paraId="3E4D0EBC" w14:textId="77777777" w:rsidR="003D5177" w:rsidRDefault="003D5177" w:rsidP="003247E3">
      <w:pPr>
        <w:spacing w:line="360" w:lineRule="auto"/>
        <w:ind w:firstLine="0"/>
        <w:jc w:val="both"/>
        <w:rPr>
          <w:b w:val="0"/>
        </w:rPr>
      </w:pPr>
    </w:p>
    <w:p w14:paraId="2D3B080E" w14:textId="77777777" w:rsidR="003D5177" w:rsidRDefault="003D5177" w:rsidP="003247E3">
      <w:pPr>
        <w:spacing w:line="360" w:lineRule="auto"/>
        <w:ind w:left="0" w:firstLine="0"/>
        <w:jc w:val="both"/>
        <w:rPr>
          <w:b w:val="0"/>
        </w:rPr>
      </w:pPr>
    </w:p>
    <w:p w14:paraId="4CB0DF0C" w14:textId="77777777" w:rsidR="003D5177" w:rsidRDefault="003D5177" w:rsidP="003247E3">
      <w:pPr>
        <w:spacing w:line="360" w:lineRule="auto"/>
        <w:ind w:left="0" w:firstLine="0"/>
        <w:jc w:val="both"/>
        <w:rPr>
          <w:b w:val="0"/>
        </w:rPr>
      </w:pPr>
    </w:p>
    <w:p w14:paraId="3869A0A8" w14:textId="77777777" w:rsidR="003D5177" w:rsidRDefault="003D5177" w:rsidP="003247E3">
      <w:pPr>
        <w:spacing w:line="360" w:lineRule="auto"/>
        <w:ind w:firstLine="0"/>
        <w:jc w:val="both"/>
        <w:rPr>
          <w:b w:val="0"/>
        </w:rPr>
      </w:pPr>
    </w:p>
    <w:p w14:paraId="474529F1" w14:textId="77777777" w:rsidR="003D5177" w:rsidRDefault="008839D7" w:rsidP="003247E3">
      <w:pPr>
        <w:spacing w:line="360" w:lineRule="auto"/>
        <w:jc w:val="both"/>
        <w:rPr>
          <w:b w:val="0"/>
        </w:rPr>
      </w:pPr>
      <w:r>
        <w:rPr>
          <w:b w:val="0"/>
        </w:rPr>
        <w:t>.</w:t>
      </w:r>
    </w:p>
    <w:p w14:paraId="4366E562" w14:textId="77777777" w:rsidR="003D5177" w:rsidRDefault="003D5177" w:rsidP="003247E3">
      <w:pPr>
        <w:spacing w:line="360" w:lineRule="auto"/>
        <w:ind w:left="0" w:firstLine="0"/>
        <w:rPr>
          <w:b w:val="0"/>
        </w:rPr>
      </w:pPr>
    </w:p>
    <w:p w14:paraId="5D7AAA7B" w14:textId="77777777" w:rsidR="003D5177" w:rsidRDefault="003D5177" w:rsidP="003247E3">
      <w:pPr>
        <w:spacing w:line="360" w:lineRule="auto"/>
        <w:ind w:left="0" w:firstLine="0"/>
        <w:rPr>
          <w:b w:val="0"/>
        </w:rPr>
      </w:pPr>
    </w:p>
    <w:p w14:paraId="45EB0E45" w14:textId="77777777" w:rsidR="003D5177" w:rsidRDefault="003D5177" w:rsidP="003247E3">
      <w:pPr>
        <w:spacing w:line="360" w:lineRule="auto"/>
        <w:jc w:val="both"/>
        <w:rPr>
          <w:b w:val="0"/>
        </w:rPr>
      </w:pPr>
    </w:p>
    <w:p w14:paraId="658F41E2" w14:textId="77777777" w:rsidR="003D5177" w:rsidRDefault="003D5177" w:rsidP="003247E3">
      <w:pPr>
        <w:spacing w:line="360" w:lineRule="auto"/>
        <w:ind w:left="0" w:firstLine="0"/>
        <w:rPr>
          <w:b w:val="0"/>
        </w:rPr>
      </w:pPr>
    </w:p>
    <w:p w14:paraId="43DF6C9E" w14:textId="77777777" w:rsidR="003D5177" w:rsidRDefault="003D5177" w:rsidP="003247E3">
      <w:pPr>
        <w:spacing w:line="360" w:lineRule="auto"/>
        <w:ind w:left="0" w:firstLine="0"/>
        <w:rPr>
          <w:b w:val="0"/>
        </w:rPr>
      </w:pPr>
    </w:p>
    <w:p w14:paraId="6D56CA5A" w14:textId="77777777" w:rsidR="003D5177" w:rsidRDefault="003D5177" w:rsidP="003247E3">
      <w:pPr>
        <w:spacing w:line="360" w:lineRule="auto"/>
        <w:jc w:val="both"/>
        <w:rPr>
          <w:b w:val="0"/>
        </w:rPr>
      </w:pPr>
    </w:p>
    <w:p w14:paraId="359DE08C" w14:textId="77777777" w:rsidR="003D5177" w:rsidRDefault="003D5177" w:rsidP="003247E3">
      <w:pPr>
        <w:spacing w:line="360" w:lineRule="auto"/>
        <w:jc w:val="both"/>
        <w:rPr>
          <w:b w:val="0"/>
        </w:rPr>
      </w:pPr>
    </w:p>
    <w:p w14:paraId="04BC2C76" w14:textId="77777777" w:rsidR="003D5177" w:rsidRDefault="008839D7" w:rsidP="003247E3">
      <w:pPr>
        <w:spacing w:line="360" w:lineRule="auto"/>
        <w:jc w:val="both"/>
        <w:rPr>
          <w:b w:val="0"/>
        </w:rPr>
      </w:pPr>
      <w:r>
        <w:rPr>
          <w:b w:val="0"/>
        </w:rPr>
        <w:t xml:space="preserve"> </w:t>
      </w:r>
    </w:p>
    <w:sectPr w:rsidR="003D5177" w:rsidSect="003247E3">
      <w:footerReference w:type="default" r:id="rId19"/>
      <w:pgSz w:w="12240" w:h="15840"/>
      <w:pgMar w:top="1133" w:right="1440" w:bottom="1093" w:left="1440" w:header="720" w:footer="720" w:gutter="0"/>
      <w:lnNumType w:countBy="1"/>
      <w:pgNumType w:start="1"/>
      <w:cols w:space="720"/>
      <w:docGrid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E99AD" w14:textId="77777777" w:rsidR="006C26FE" w:rsidRDefault="006C26FE" w:rsidP="0005561C">
      <w:pPr>
        <w:spacing w:line="240" w:lineRule="auto"/>
      </w:pPr>
      <w:r>
        <w:separator/>
      </w:r>
    </w:p>
  </w:endnote>
  <w:endnote w:type="continuationSeparator" w:id="0">
    <w:p w14:paraId="00B70C0E" w14:textId="77777777" w:rsidR="006C26FE" w:rsidRDefault="006C26FE" w:rsidP="0005561C">
      <w:pPr>
        <w:spacing w:line="240" w:lineRule="auto"/>
      </w:pPr>
      <w:r>
        <w:continuationSeparator/>
      </w:r>
    </w:p>
  </w:endnote>
  <w:endnote w:type="continuationNotice" w:id="1">
    <w:p w14:paraId="49508EA2" w14:textId="77777777" w:rsidR="003964CD" w:rsidRDefault="003964C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7844177"/>
      <w:docPartObj>
        <w:docPartGallery w:val="Page Numbers (Bottom of Page)"/>
        <w:docPartUnique/>
      </w:docPartObj>
    </w:sdtPr>
    <w:sdtEndPr>
      <w:rPr>
        <w:noProof/>
      </w:rPr>
    </w:sdtEndPr>
    <w:sdtContent>
      <w:p w14:paraId="576CBD22" w14:textId="06249F74" w:rsidR="0005561C" w:rsidRDefault="0005561C">
        <w:pPr>
          <w:pStyle w:val="Footer"/>
          <w:jc w:val="right"/>
        </w:pPr>
        <w:r>
          <w:fldChar w:fldCharType="begin"/>
        </w:r>
        <w:r>
          <w:instrText xml:space="preserve"> PAGE   \* MERGEFORMAT </w:instrText>
        </w:r>
        <w:r>
          <w:fldChar w:fldCharType="separate"/>
        </w:r>
        <w:r w:rsidR="00730764">
          <w:rPr>
            <w:noProof/>
          </w:rPr>
          <w:t>4</w:t>
        </w:r>
        <w:r>
          <w:rPr>
            <w:noProof/>
          </w:rPr>
          <w:fldChar w:fldCharType="end"/>
        </w:r>
      </w:p>
    </w:sdtContent>
  </w:sdt>
  <w:p w14:paraId="7E42A227" w14:textId="77777777" w:rsidR="0005561C" w:rsidRDefault="000556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3DADC" w14:textId="77777777" w:rsidR="006C26FE" w:rsidRDefault="006C26FE" w:rsidP="0005561C">
      <w:pPr>
        <w:spacing w:line="240" w:lineRule="auto"/>
      </w:pPr>
      <w:r>
        <w:separator/>
      </w:r>
    </w:p>
  </w:footnote>
  <w:footnote w:type="continuationSeparator" w:id="0">
    <w:p w14:paraId="29DAC42C" w14:textId="77777777" w:rsidR="006C26FE" w:rsidRDefault="006C26FE" w:rsidP="0005561C">
      <w:pPr>
        <w:spacing w:line="240" w:lineRule="auto"/>
      </w:pPr>
      <w:r>
        <w:continuationSeparator/>
      </w:r>
    </w:p>
  </w:footnote>
  <w:footnote w:type="continuationNotice" w:id="1">
    <w:p w14:paraId="6E32B011" w14:textId="77777777" w:rsidR="003964CD" w:rsidRDefault="003964C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D5D7E"/>
    <w:multiLevelType w:val="multilevel"/>
    <w:tmpl w:val="EA9280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93C7BF1"/>
    <w:multiLevelType w:val="multilevel"/>
    <w:tmpl w:val="35649F1A"/>
    <w:lvl w:ilvl="0">
      <w:start w:val="1"/>
      <w:numFmt w:val="decimal"/>
      <w:lvlText w:val="%1."/>
      <w:lvlJc w:val="left"/>
      <w:pPr>
        <w:ind w:left="720" w:hanging="360"/>
      </w:pPr>
      <w:rPr>
        <w:sz w:val="22"/>
        <w:szCs w:val="22"/>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8CF0149"/>
    <w:multiLevelType w:val="multilevel"/>
    <w:tmpl w:val="0320433E"/>
    <w:lvl w:ilvl="0">
      <w:start w:val="1"/>
      <w:numFmt w:val="decimal"/>
      <w:lvlText w:val="%1."/>
      <w:lvlJc w:val="left"/>
      <w:pPr>
        <w:ind w:left="9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79D11C87"/>
    <w:multiLevelType w:val="hybridMultilevel"/>
    <w:tmpl w:val="18C2106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177"/>
    <w:rsid w:val="00003918"/>
    <w:rsid w:val="00016F44"/>
    <w:rsid w:val="000508D3"/>
    <w:rsid w:val="000551C8"/>
    <w:rsid w:val="0005561C"/>
    <w:rsid w:val="00055BB3"/>
    <w:rsid w:val="00090774"/>
    <w:rsid w:val="000B0B45"/>
    <w:rsid w:val="000D0F75"/>
    <w:rsid w:val="000D2598"/>
    <w:rsid w:val="000D4C58"/>
    <w:rsid w:val="000F34A3"/>
    <w:rsid w:val="00114A66"/>
    <w:rsid w:val="001423E8"/>
    <w:rsid w:val="00187F42"/>
    <w:rsid w:val="001C0CF3"/>
    <w:rsid w:val="001E00A8"/>
    <w:rsid w:val="00227A86"/>
    <w:rsid w:val="00252CAD"/>
    <w:rsid w:val="00261973"/>
    <w:rsid w:val="002706C9"/>
    <w:rsid w:val="00284FDD"/>
    <w:rsid w:val="002A669B"/>
    <w:rsid w:val="002B7C8D"/>
    <w:rsid w:val="002D2F95"/>
    <w:rsid w:val="002D63B2"/>
    <w:rsid w:val="002D65EA"/>
    <w:rsid w:val="002E55D9"/>
    <w:rsid w:val="002F3BCC"/>
    <w:rsid w:val="00306EF5"/>
    <w:rsid w:val="003247E3"/>
    <w:rsid w:val="00331820"/>
    <w:rsid w:val="00345117"/>
    <w:rsid w:val="003660C8"/>
    <w:rsid w:val="0036761D"/>
    <w:rsid w:val="003964CD"/>
    <w:rsid w:val="003A5694"/>
    <w:rsid w:val="003D02A1"/>
    <w:rsid w:val="003D5177"/>
    <w:rsid w:val="003E67A4"/>
    <w:rsid w:val="003F0EEC"/>
    <w:rsid w:val="0040063B"/>
    <w:rsid w:val="0042224F"/>
    <w:rsid w:val="0044127D"/>
    <w:rsid w:val="00455541"/>
    <w:rsid w:val="0047245D"/>
    <w:rsid w:val="004952B3"/>
    <w:rsid w:val="004A25EE"/>
    <w:rsid w:val="004C439F"/>
    <w:rsid w:val="004E3680"/>
    <w:rsid w:val="005038CC"/>
    <w:rsid w:val="00511729"/>
    <w:rsid w:val="005163D4"/>
    <w:rsid w:val="00521288"/>
    <w:rsid w:val="00523712"/>
    <w:rsid w:val="00550699"/>
    <w:rsid w:val="00596D9C"/>
    <w:rsid w:val="005B3405"/>
    <w:rsid w:val="005C206F"/>
    <w:rsid w:val="005C3F21"/>
    <w:rsid w:val="005E7037"/>
    <w:rsid w:val="005F3752"/>
    <w:rsid w:val="00665A7B"/>
    <w:rsid w:val="00685B59"/>
    <w:rsid w:val="0068662C"/>
    <w:rsid w:val="006A1AC1"/>
    <w:rsid w:val="006B43EA"/>
    <w:rsid w:val="006C26FE"/>
    <w:rsid w:val="00730764"/>
    <w:rsid w:val="00746F1E"/>
    <w:rsid w:val="00773FFA"/>
    <w:rsid w:val="007872A7"/>
    <w:rsid w:val="00797D1B"/>
    <w:rsid w:val="007A6472"/>
    <w:rsid w:val="007E0062"/>
    <w:rsid w:val="007E0F10"/>
    <w:rsid w:val="007F12DE"/>
    <w:rsid w:val="00804CFE"/>
    <w:rsid w:val="00807075"/>
    <w:rsid w:val="00815C04"/>
    <w:rsid w:val="00823117"/>
    <w:rsid w:val="00854716"/>
    <w:rsid w:val="00880BF1"/>
    <w:rsid w:val="008839D7"/>
    <w:rsid w:val="0088534A"/>
    <w:rsid w:val="00890F3D"/>
    <w:rsid w:val="008C0409"/>
    <w:rsid w:val="008C2826"/>
    <w:rsid w:val="008F4D4B"/>
    <w:rsid w:val="009028D0"/>
    <w:rsid w:val="00917EDA"/>
    <w:rsid w:val="00937590"/>
    <w:rsid w:val="00970536"/>
    <w:rsid w:val="0098451D"/>
    <w:rsid w:val="00986F12"/>
    <w:rsid w:val="009A1AD4"/>
    <w:rsid w:val="009A7041"/>
    <w:rsid w:val="009B03CA"/>
    <w:rsid w:val="009C4A48"/>
    <w:rsid w:val="009D4721"/>
    <w:rsid w:val="00A16733"/>
    <w:rsid w:val="00A606CF"/>
    <w:rsid w:val="00A64450"/>
    <w:rsid w:val="00A74637"/>
    <w:rsid w:val="00A81FC1"/>
    <w:rsid w:val="00AA3A01"/>
    <w:rsid w:val="00AD2C9F"/>
    <w:rsid w:val="00AF5B48"/>
    <w:rsid w:val="00B362F4"/>
    <w:rsid w:val="00B521A3"/>
    <w:rsid w:val="00B90F47"/>
    <w:rsid w:val="00BA7630"/>
    <w:rsid w:val="00BB0763"/>
    <w:rsid w:val="00BC4805"/>
    <w:rsid w:val="00BE01E8"/>
    <w:rsid w:val="00BF10EB"/>
    <w:rsid w:val="00BF4645"/>
    <w:rsid w:val="00BF6EA4"/>
    <w:rsid w:val="00C773E6"/>
    <w:rsid w:val="00C8597C"/>
    <w:rsid w:val="00C9371D"/>
    <w:rsid w:val="00CA0FF4"/>
    <w:rsid w:val="00CE7C76"/>
    <w:rsid w:val="00D21743"/>
    <w:rsid w:val="00D30E50"/>
    <w:rsid w:val="00D32432"/>
    <w:rsid w:val="00D37138"/>
    <w:rsid w:val="00D53842"/>
    <w:rsid w:val="00D83466"/>
    <w:rsid w:val="00D86C50"/>
    <w:rsid w:val="00D93201"/>
    <w:rsid w:val="00DB0665"/>
    <w:rsid w:val="00DF6388"/>
    <w:rsid w:val="00E112F9"/>
    <w:rsid w:val="00E27F32"/>
    <w:rsid w:val="00E42916"/>
    <w:rsid w:val="00E5261C"/>
    <w:rsid w:val="00E82EF9"/>
    <w:rsid w:val="00EE1C75"/>
    <w:rsid w:val="00F2203D"/>
    <w:rsid w:val="00F266C1"/>
    <w:rsid w:val="00F449DF"/>
    <w:rsid w:val="00F55E33"/>
    <w:rsid w:val="00F66A6C"/>
    <w:rsid w:val="00F87A86"/>
    <w:rsid w:val="00F9004F"/>
    <w:rsid w:val="00FB7BE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970E1FA"/>
  <w15:docId w15:val="{CEE2ABBB-801E-49A0-A544-21665F503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b/>
        <w:sz w:val="24"/>
        <w:szCs w:val="24"/>
        <w:lang w:val="en" w:eastAsia="en-IN" w:bidi="ar-SA"/>
      </w:rPr>
    </w:rPrDefault>
    <w:pPrDefault>
      <w:pPr>
        <w:spacing w:line="276" w:lineRule="auto"/>
        <w:ind w:left="72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b w:val="0"/>
      <w:sz w:val="32"/>
      <w:szCs w:val="32"/>
    </w:rPr>
  </w:style>
  <w:style w:type="paragraph" w:styleId="Heading3">
    <w:name w:val="heading 3"/>
    <w:basedOn w:val="Normal"/>
    <w:next w:val="Normal"/>
    <w:uiPriority w:val="9"/>
    <w:semiHidden/>
    <w:unhideWhenUsed/>
    <w:qFormat/>
    <w:pPr>
      <w:keepNext/>
      <w:keepLines/>
      <w:spacing w:before="320" w:after="80"/>
      <w:outlineLvl w:val="2"/>
    </w:pPr>
    <w:rPr>
      <w:b w:val="0"/>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PlaceholderText">
    <w:name w:val="Placeholder Text"/>
    <w:basedOn w:val="DefaultParagraphFont"/>
    <w:uiPriority w:val="99"/>
    <w:semiHidden/>
    <w:rsid w:val="00773FFA"/>
    <w:rPr>
      <w:color w:val="808080"/>
    </w:rPr>
  </w:style>
  <w:style w:type="paragraph" w:styleId="Revision">
    <w:name w:val="Revision"/>
    <w:hidden/>
    <w:uiPriority w:val="99"/>
    <w:semiHidden/>
    <w:rsid w:val="00BE01E8"/>
    <w:pPr>
      <w:spacing w:line="240" w:lineRule="auto"/>
      <w:ind w:left="0" w:firstLine="0"/>
    </w:pPr>
  </w:style>
  <w:style w:type="paragraph" w:styleId="ListParagraph">
    <w:name w:val="List Paragraph"/>
    <w:basedOn w:val="Normal"/>
    <w:uiPriority w:val="34"/>
    <w:qFormat/>
    <w:rsid w:val="00B90F47"/>
    <w:pPr>
      <w:contextualSpacing/>
    </w:pPr>
  </w:style>
  <w:style w:type="character" w:styleId="LineNumber">
    <w:name w:val="line number"/>
    <w:basedOn w:val="DefaultParagraphFont"/>
    <w:uiPriority w:val="99"/>
    <w:semiHidden/>
    <w:unhideWhenUsed/>
    <w:rsid w:val="008C2826"/>
  </w:style>
  <w:style w:type="paragraph" w:styleId="Header">
    <w:name w:val="header"/>
    <w:basedOn w:val="Normal"/>
    <w:link w:val="HeaderChar"/>
    <w:uiPriority w:val="99"/>
    <w:unhideWhenUsed/>
    <w:rsid w:val="0005561C"/>
    <w:pPr>
      <w:tabs>
        <w:tab w:val="center" w:pos="4513"/>
        <w:tab w:val="right" w:pos="9026"/>
      </w:tabs>
      <w:spacing w:line="240" w:lineRule="auto"/>
    </w:pPr>
  </w:style>
  <w:style w:type="character" w:customStyle="1" w:styleId="HeaderChar">
    <w:name w:val="Header Char"/>
    <w:basedOn w:val="DefaultParagraphFont"/>
    <w:link w:val="Header"/>
    <w:uiPriority w:val="99"/>
    <w:rsid w:val="0005561C"/>
  </w:style>
  <w:style w:type="paragraph" w:styleId="Footer">
    <w:name w:val="footer"/>
    <w:basedOn w:val="Normal"/>
    <w:link w:val="FooterChar"/>
    <w:uiPriority w:val="99"/>
    <w:unhideWhenUsed/>
    <w:rsid w:val="0005561C"/>
    <w:pPr>
      <w:tabs>
        <w:tab w:val="center" w:pos="4513"/>
        <w:tab w:val="right" w:pos="9026"/>
      </w:tabs>
      <w:spacing w:line="240" w:lineRule="auto"/>
    </w:pPr>
  </w:style>
  <w:style w:type="character" w:customStyle="1" w:styleId="FooterChar">
    <w:name w:val="Footer Char"/>
    <w:basedOn w:val="DefaultParagraphFont"/>
    <w:link w:val="Footer"/>
    <w:uiPriority w:val="99"/>
    <w:rsid w:val="0005561C"/>
  </w:style>
  <w:style w:type="paragraph" w:styleId="CommentText">
    <w:name w:val="annotation text"/>
    <w:basedOn w:val="Normal"/>
    <w:link w:val="CommentTextChar"/>
    <w:uiPriority w:val="99"/>
    <w:semiHidden/>
    <w:unhideWhenUsed/>
    <w:rsid w:val="002F3BCC"/>
    <w:pPr>
      <w:spacing w:line="240" w:lineRule="auto"/>
      <w:ind w:left="0" w:firstLine="0"/>
    </w:pPr>
    <w:rPr>
      <w:rFonts w:ascii="Arial" w:eastAsia="Arial" w:hAnsi="Arial" w:cs="Arial"/>
      <w:b w:val="0"/>
      <w:sz w:val="20"/>
      <w:szCs w:val="20"/>
    </w:rPr>
  </w:style>
  <w:style w:type="character" w:customStyle="1" w:styleId="CommentTextChar">
    <w:name w:val="Comment Text Char"/>
    <w:basedOn w:val="DefaultParagraphFont"/>
    <w:link w:val="CommentText"/>
    <w:uiPriority w:val="99"/>
    <w:semiHidden/>
    <w:rsid w:val="002F3BCC"/>
    <w:rPr>
      <w:rFonts w:ascii="Arial" w:eastAsia="Arial" w:hAnsi="Arial" w:cs="Arial"/>
      <w:b w:val="0"/>
      <w:sz w:val="20"/>
      <w:szCs w:val="20"/>
    </w:rPr>
  </w:style>
  <w:style w:type="character" w:styleId="CommentReference">
    <w:name w:val="annotation reference"/>
    <w:basedOn w:val="DefaultParagraphFont"/>
    <w:uiPriority w:val="99"/>
    <w:semiHidden/>
    <w:unhideWhenUsed/>
    <w:rsid w:val="002F3BCC"/>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tif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tif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521E8D-E482-485D-9F24-EA2DF972F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6735</Words>
  <Characters>38393</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AZRA AZIZ</dc:creator>
  <cp:lastModifiedBy>AZRA AZIZ</cp:lastModifiedBy>
  <cp:revision>2</cp:revision>
  <dcterms:created xsi:type="dcterms:W3CDTF">2023-12-12T13:51:00Z</dcterms:created>
  <dcterms:modified xsi:type="dcterms:W3CDTF">2023-12-12T13:51:00Z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http://www.zotero.org/styles/harvard1</vt:lpwstr>
  </property>
  <property fmtid="{D5CDD505-2E9C-101B-9397-08002B2CF9AE}" pid="11" name="Mendeley Recent Style Name 4_1">
    <vt:lpwstr>Harvard reference format 1 (deprecated)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http://www.zotero.org/styles/pnas</vt:lpwstr>
  </property>
  <property fmtid="{D5CDD505-2E9C-101B-9397-08002B2CF9AE}" pid="21" name="Mendeley Recent Style Name 9_1">
    <vt:lpwstr>Proceedings of the National Academy of Sciences of the United States of America</vt:lpwstr>
  </property>
  <property fmtid="{D5CDD505-2E9C-101B-9397-08002B2CF9AE}" pid="22" name="Mendeley Document_1">
    <vt:lpwstr>True</vt:lpwstr>
  </property>
  <property fmtid="{D5CDD505-2E9C-101B-9397-08002B2CF9AE}" pid="23" name="Mendeley Unique User Id_1">
    <vt:lpwstr>e3a701fe-1b69-394b-bae6-b87544d65000</vt:lpwstr>
  </property>
  <property fmtid="{D5CDD505-2E9C-101B-9397-08002B2CF9AE}" pid="24" name="Mendeley Citation Style_1">
    <vt:lpwstr>http://www.zotero.org/styles/american-sociological-association</vt:lpwstr>
  </property>
  <property fmtid="{D5CDD505-2E9C-101B-9397-08002B2CF9AE}" pid="25" name="GrammarlyDocumentId">
    <vt:lpwstr>f4a0a2476554a573fb7087fd464a6c699c1b5a06c846fd8c290a9fc2dc6b7999</vt:lpwstr>
  </property>
</Properties>
</file>